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59F29DD7" w:rsidR="00F700E3" w:rsidRDefault="00F700E3" w:rsidP="00930FE0">
      <w:pPr>
        <w:pStyle w:val="Titre"/>
      </w:pPr>
    </w:p>
    <w:p w14:paraId="513FFDAB" w14:textId="4B9E34DF" w:rsidR="00F700E3" w:rsidRDefault="00072995" w:rsidP="00930FE0">
      <w:pPr>
        <w:pStyle w:val="Titre"/>
      </w:pPr>
      <w:r>
        <w:rPr>
          <w:noProof/>
        </w:rPr>
        <w:drawing>
          <wp:anchor distT="0" distB="0" distL="114300" distR="114300" simplePos="0" relativeHeight="251658240" behindDoc="0" locked="0" layoutInCell="1" allowOverlap="1" wp14:anchorId="7AA56B97" wp14:editId="437122AE">
            <wp:simplePos x="0" y="0"/>
            <wp:positionH relativeFrom="margin">
              <wp:posOffset>1040765</wp:posOffset>
            </wp:positionH>
            <wp:positionV relativeFrom="margin">
              <wp:posOffset>520700</wp:posOffset>
            </wp:positionV>
            <wp:extent cx="2736850" cy="1102360"/>
            <wp:effectExtent l="0" t="0" r="6350" b="2540"/>
            <wp:wrapSquare wrapText="bothSides"/>
            <wp:docPr id="8219651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102360"/>
                    </a:xfrm>
                    <a:prstGeom prst="rect">
                      <a:avLst/>
                    </a:prstGeom>
                    <a:noFill/>
                  </pic:spPr>
                </pic:pic>
              </a:graphicData>
            </a:graphic>
            <wp14:sizeRelH relativeFrom="page">
              <wp14:pctWidth>0</wp14:pctWidth>
            </wp14:sizeRelH>
            <wp14:sizeRelV relativeFrom="page">
              <wp14:pctHeight>0</wp14:pctHeight>
            </wp14:sizeRelV>
          </wp:anchor>
        </w:drawing>
      </w:r>
    </w:p>
    <w:p w14:paraId="34AE45A8" w14:textId="77777777" w:rsidR="00F700E3" w:rsidRPr="0081719C" w:rsidRDefault="00F700E3" w:rsidP="00F700E3"/>
    <w:p w14:paraId="1CB2FB40" w14:textId="77777777" w:rsidR="00F700E3" w:rsidRDefault="00F700E3" w:rsidP="00F700E3"/>
    <w:p w14:paraId="69E564D7" w14:textId="77777777" w:rsidR="00072995" w:rsidRDefault="00072995" w:rsidP="00F700E3"/>
    <w:p w14:paraId="56491CDA" w14:textId="77777777" w:rsidR="00072995" w:rsidRDefault="00072995" w:rsidP="00F700E3"/>
    <w:p w14:paraId="454BB9A5" w14:textId="77777777" w:rsidR="00072995" w:rsidRDefault="00072995" w:rsidP="00F700E3"/>
    <w:p w14:paraId="5BF21AB6" w14:textId="77777777" w:rsidR="00072995" w:rsidRPr="0081719C" w:rsidRDefault="00072995" w:rsidP="00F700E3"/>
    <w:p w14:paraId="21F4CC6E" w14:textId="43FE7797" w:rsidR="00072995" w:rsidRPr="00072995" w:rsidRDefault="00072995"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bookmarkStart w:id="0" w:name="_Hlk198732247"/>
      <w:r w:rsidRPr="00072995">
        <w:rPr>
          <w:rFonts w:cs="Arial"/>
          <w:b/>
          <w:szCs w:val="20"/>
        </w:rPr>
        <w:t>Cahier des Clauses Techniques Administratives Particulières</w:t>
      </w:r>
    </w:p>
    <w:p w14:paraId="388D0A91" w14:textId="43299B68" w:rsidR="00072995" w:rsidRPr="00BD212F" w:rsidRDefault="00072995"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sidRPr="00072995">
        <w:rPr>
          <w:rFonts w:cs="Arial"/>
          <w:b/>
          <w:szCs w:val="20"/>
        </w:rPr>
        <w:t>(C.C.A.P)</w:t>
      </w:r>
    </w:p>
    <w:bookmarkEnd w:id="0"/>
    <w:p w14:paraId="15DB2F79" w14:textId="77777777" w:rsidR="00072995" w:rsidRDefault="00072995" w:rsidP="00072995"/>
    <w:p w14:paraId="14B903C9" w14:textId="77777777" w:rsidR="00072995" w:rsidRDefault="00072995" w:rsidP="00072995"/>
    <w:p w14:paraId="18D2ECCB" w14:textId="77777777" w:rsidR="00072995" w:rsidRDefault="00072995" w:rsidP="00072995"/>
    <w:p w14:paraId="6ED2F91E" w14:textId="77777777" w:rsidR="00072995" w:rsidRPr="0081719C" w:rsidRDefault="00072995" w:rsidP="00072995"/>
    <w:p w14:paraId="2EABD7C7" w14:textId="77777777" w:rsidR="00072995" w:rsidRPr="00BD212F" w:rsidRDefault="00072995"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44"/>
          <w:szCs w:val="44"/>
        </w:rPr>
      </w:pPr>
      <w:bookmarkStart w:id="1" w:name="_Hlk198557182"/>
      <w:bookmarkStart w:id="2" w:name="_Hlk198732310"/>
      <w:r w:rsidRPr="00BD212F">
        <w:rPr>
          <w:rFonts w:cs="Arial"/>
          <w:b/>
          <w:sz w:val="44"/>
          <w:szCs w:val="44"/>
        </w:rPr>
        <w:t>Mise à jour de l’Étude de dangers du Grand Port Maritime de Guyane</w:t>
      </w:r>
    </w:p>
    <w:p w14:paraId="458698C2" w14:textId="12E19797" w:rsidR="00F700E3" w:rsidRPr="00EC0D6E" w:rsidRDefault="00072995"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rPr>
      </w:pPr>
      <w:r w:rsidRPr="00EC0D6E">
        <w:rPr>
          <w:rFonts w:cs="Arial"/>
          <w:b/>
          <w:sz w:val="32"/>
          <w:szCs w:val="32"/>
        </w:rPr>
        <w:t>QHSE-01-25</w:t>
      </w:r>
      <w:bookmarkEnd w:id="1"/>
    </w:p>
    <w:bookmarkEnd w:id="2"/>
    <w:p w14:paraId="0C83A8A8" w14:textId="525F401F" w:rsidR="00F700E3" w:rsidRPr="00EC0D6E" w:rsidRDefault="00B81017" w:rsidP="00F700E3">
      <w:pPr>
        <w:spacing w:after="200" w:line="276" w:lineRule="auto"/>
      </w:pPr>
      <w:r w:rsidRPr="00EC0D6E">
        <w:rPr>
          <w:i/>
          <w:iCs/>
          <w:smallCaps/>
        </w:rPr>
        <w:t xml:space="preserve">CCAP </w:t>
      </w:r>
      <w:r w:rsidR="004366E2" w:rsidRPr="00EC0D6E">
        <w:rPr>
          <w:b/>
          <w:i/>
          <w:iCs/>
          <w:smallCaps/>
        </w:rPr>
        <w:t>GPM-G DPD 25 20 EDD RX VFO</w:t>
      </w:r>
    </w:p>
    <w:p w14:paraId="13CC7214" w14:textId="45D057DF" w:rsidR="00AA7022" w:rsidRPr="00EC0D6E" w:rsidRDefault="00F700E3" w:rsidP="007D52FC">
      <w:pPr>
        <w:spacing w:after="200" w:line="276" w:lineRule="auto"/>
      </w:pPr>
      <w:r w:rsidRPr="00EC0D6E">
        <w:br w:type="page"/>
      </w:r>
      <w:bookmarkStart w:id="3" w:name="_Hlk49864682"/>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27B26F13" w:rsidR="00AA7022" w:rsidRPr="00FE5DEF" w:rsidRDefault="00AA7022" w:rsidP="00394727">
          <w:pPr>
            <w:pStyle w:val="En-ttedetabledesmatires"/>
            <w:numPr>
              <w:ilvl w:val="0"/>
              <w:numId w:val="0"/>
            </w:numPr>
            <w:rPr>
              <w:rFonts w:eastAsiaTheme="minorHAnsi"/>
            </w:rPr>
          </w:pPr>
          <w:r>
            <w:t>Table des matières</w:t>
          </w:r>
        </w:p>
        <w:p w14:paraId="356AFEC2" w14:textId="7907E635" w:rsidR="00FE5DEF"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8637867" w:history="1">
            <w:r w:rsidR="00FE5DEF" w:rsidRPr="006134B7">
              <w:rPr>
                <w:rStyle w:val="Lienhypertexte"/>
                <w:noProof/>
              </w:rPr>
              <w:t>Article I.</w:t>
            </w:r>
            <w:r w:rsidR="00FE5DEF">
              <w:rPr>
                <w:rFonts w:asciiTheme="minorHAnsi" w:eastAsiaTheme="minorEastAsia" w:hAnsiTheme="minorHAnsi" w:cstheme="minorBidi"/>
                <w:b w:val="0"/>
                <w:bCs w:val="0"/>
                <w:i w:val="0"/>
                <w:iCs w:val="0"/>
                <w:noProof/>
                <w:kern w:val="2"/>
                <w:lang w:val="fr-BE" w:eastAsia="fr-BE"/>
                <w14:ligatures w14:val="standardContextual"/>
              </w:rPr>
              <w:tab/>
            </w:r>
            <w:r w:rsidR="00FE5DEF" w:rsidRPr="006134B7">
              <w:rPr>
                <w:rStyle w:val="Lienhypertexte"/>
                <w:noProof/>
              </w:rPr>
              <w:t>OBJET DU MARCHE</w:t>
            </w:r>
            <w:r w:rsidR="00FE5DEF">
              <w:rPr>
                <w:noProof/>
                <w:webHidden/>
              </w:rPr>
              <w:tab/>
            </w:r>
            <w:r w:rsidR="00FE5DEF">
              <w:rPr>
                <w:noProof/>
                <w:webHidden/>
              </w:rPr>
              <w:fldChar w:fldCharType="begin"/>
            </w:r>
            <w:r w:rsidR="00FE5DEF">
              <w:rPr>
                <w:noProof/>
                <w:webHidden/>
              </w:rPr>
              <w:instrText xml:space="preserve"> PAGEREF _Toc198637867 \h </w:instrText>
            </w:r>
            <w:r w:rsidR="00FE5DEF">
              <w:rPr>
                <w:noProof/>
                <w:webHidden/>
              </w:rPr>
            </w:r>
            <w:r w:rsidR="00FE5DEF">
              <w:rPr>
                <w:noProof/>
                <w:webHidden/>
              </w:rPr>
              <w:fldChar w:fldCharType="separate"/>
            </w:r>
            <w:r w:rsidR="00FE5DEF">
              <w:rPr>
                <w:noProof/>
                <w:webHidden/>
              </w:rPr>
              <w:t>3</w:t>
            </w:r>
            <w:r w:rsidR="00FE5DEF">
              <w:rPr>
                <w:noProof/>
                <w:webHidden/>
              </w:rPr>
              <w:fldChar w:fldCharType="end"/>
            </w:r>
          </w:hyperlink>
        </w:p>
        <w:p w14:paraId="64BC38E8" w14:textId="3CE3D29D"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68" w:history="1">
            <w:r w:rsidRPr="006134B7">
              <w:rPr>
                <w:rStyle w:val="Lienhypertexte"/>
                <w:noProof/>
              </w:rPr>
              <w:t>Section 1.01</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Partie contractante</w:t>
            </w:r>
            <w:r>
              <w:rPr>
                <w:noProof/>
                <w:webHidden/>
              </w:rPr>
              <w:tab/>
            </w:r>
            <w:r>
              <w:rPr>
                <w:noProof/>
                <w:webHidden/>
              </w:rPr>
              <w:fldChar w:fldCharType="begin"/>
            </w:r>
            <w:r>
              <w:rPr>
                <w:noProof/>
                <w:webHidden/>
              </w:rPr>
              <w:instrText xml:space="preserve"> PAGEREF _Toc198637868 \h </w:instrText>
            </w:r>
            <w:r>
              <w:rPr>
                <w:noProof/>
                <w:webHidden/>
              </w:rPr>
            </w:r>
            <w:r>
              <w:rPr>
                <w:noProof/>
                <w:webHidden/>
              </w:rPr>
              <w:fldChar w:fldCharType="separate"/>
            </w:r>
            <w:r>
              <w:rPr>
                <w:noProof/>
                <w:webHidden/>
              </w:rPr>
              <w:t>3</w:t>
            </w:r>
            <w:r>
              <w:rPr>
                <w:noProof/>
                <w:webHidden/>
              </w:rPr>
              <w:fldChar w:fldCharType="end"/>
            </w:r>
          </w:hyperlink>
        </w:p>
        <w:p w14:paraId="23E013B8" w14:textId="17FF2BB8"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69" w:history="1">
            <w:r w:rsidRPr="006134B7">
              <w:rPr>
                <w:rStyle w:val="Lienhypertexte"/>
                <w:noProof/>
              </w:rPr>
              <w:t>Section 1.02</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Objet du marché</w:t>
            </w:r>
            <w:r>
              <w:rPr>
                <w:noProof/>
                <w:webHidden/>
              </w:rPr>
              <w:tab/>
            </w:r>
            <w:r>
              <w:rPr>
                <w:noProof/>
                <w:webHidden/>
              </w:rPr>
              <w:fldChar w:fldCharType="begin"/>
            </w:r>
            <w:r>
              <w:rPr>
                <w:noProof/>
                <w:webHidden/>
              </w:rPr>
              <w:instrText xml:space="preserve"> PAGEREF _Toc198637869 \h </w:instrText>
            </w:r>
            <w:r>
              <w:rPr>
                <w:noProof/>
                <w:webHidden/>
              </w:rPr>
            </w:r>
            <w:r>
              <w:rPr>
                <w:noProof/>
                <w:webHidden/>
              </w:rPr>
              <w:fldChar w:fldCharType="separate"/>
            </w:r>
            <w:r>
              <w:rPr>
                <w:noProof/>
                <w:webHidden/>
              </w:rPr>
              <w:t>4</w:t>
            </w:r>
            <w:r>
              <w:rPr>
                <w:noProof/>
                <w:webHidden/>
              </w:rPr>
              <w:fldChar w:fldCharType="end"/>
            </w:r>
          </w:hyperlink>
        </w:p>
        <w:p w14:paraId="666141D9" w14:textId="638C380D"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0" w:history="1">
            <w:r w:rsidRPr="006134B7">
              <w:rPr>
                <w:rStyle w:val="Lienhypertexte"/>
                <w:noProof/>
              </w:rPr>
              <w:t>Section 1.03</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Forme du marché</w:t>
            </w:r>
            <w:r>
              <w:rPr>
                <w:noProof/>
                <w:webHidden/>
              </w:rPr>
              <w:tab/>
            </w:r>
            <w:r>
              <w:rPr>
                <w:noProof/>
                <w:webHidden/>
              </w:rPr>
              <w:fldChar w:fldCharType="begin"/>
            </w:r>
            <w:r>
              <w:rPr>
                <w:noProof/>
                <w:webHidden/>
              </w:rPr>
              <w:instrText xml:space="preserve"> PAGEREF _Toc198637870 \h </w:instrText>
            </w:r>
            <w:r>
              <w:rPr>
                <w:noProof/>
                <w:webHidden/>
              </w:rPr>
            </w:r>
            <w:r>
              <w:rPr>
                <w:noProof/>
                <w:webHidden/>
              </w:rPr>
              <w:fldChar w:fldCharType="separate"/>
            </w:r>
            <w:r>
              <w:rPr>
                <w:noProof/>
                <w:webHidden/>
              </w:rPr>
              <w:t>4</w:t>
            </w:r>
            <w:r>
              <w:rPr>
                <w:noProof/>
                <w:webHidden/>
              </w:rPr>
              <w:fldChar w:fldCharType="end"/>
            </w:r>
          </w:hyperlink>
        </w:p>
        <w:p w14:paraId="3C281107" w14:textId="37B49FE1"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1" w:history="1">
            <w:r w:rsidRPr="006134B7">
              <w:rPr>
                <w:rStyle w:val="Lienhypertexte"/>
                <w:noProof/>
              </w:rPr>
              <w:t>Section 1.04</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Montant maximum</w:t>
            </w:r>
            <w:r>
              <w:rPr>
                <w:noProof/>
                <w:webHidden/>
              </w:rPr>
              <w:tab/>
            </w:r>
            <w:r>
              <w:rPr>
                <w:noProof/>
                <w:webHidden/>
              </w:rPr>
              <w:fldChar w:fldCharType="begin"/>
            </w:r>
            <w:r>
              <w:rPr>
                <w:noProof/>
                <w:webHidden/>
              </w:rPr>
              <w:instrText xml:space="preserve"> PAGEREF _Toc198637871 \h </w:instrText>
            </w:r>
            <w:r>
              <w:rPr>
                <w:noProof/>
                <w:webHidden/>
              </w:rPr>
            </w:r>
            <w:r>
              <w:rPr>
                <w:noProof/>
                <w:webHidden/>
              </w:rPr>
              <w:fldChar w:fldCharType="separate"/>
            </w:r>
            <w:r>
              <w:rPr>
                <w:noProof/>
                <w:webHidden/>
              </w:rPr>
              <w:t>4</w:t>
            </w:r>
            <w:r>
              <w:rPr>
                <w:noProof/>
                <w:webHidden/>
              </w:rPr>
              <w:fldChar w:fldCharType="end"/>
            </w:r>
          </w:hyperlink>
        </w:p>
        <w:p w14:paraId="6822024C" w14:textId="251A99B6"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2" w:history="1">
            <w:r w:rsidRPr="006134B7">
              <w:rPr>
                <w:rStyle w:val="Lienhypertexte"/>
                <w:noProof/>
              </w:rPr>
              <w:t>Section 1.05</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Durée</w:t>
            </w:r>
            <w:r>
              <w:rPr>
                <w:noProof/>
                <w:webHidden/>
              </w:rPr>
              <w:tab/>
            </w:r>
            <w:r>
              <w:rPr>
                <w:noProof/>
                <w:webHidden/>
              </w:rPr>
              <w:fldChar w:fldCharType="begin"/>
            </w:r>
            <w:r>
              <w:rPr>
                <w:noProof/>
                <w:webHidden/>
              </w:rPr>
              <w:instrText xml:space="preserve"> PAGEREF _Toc198637872 \h </w:instrText>
            </w:r>
            <w:r>
              <w:rPr>
                <w:noProof/>
                <w:webHidden/>
              </w:rPr>
            </w:r>
            <w:r>
              <w:rPr>
                <w:noProof/>
                <w:webHidden/>
              </w:rPr>
              <w:fldChar w:fldCharType="separate"/>
            </w:r>
            <w:r>
              <w:rPr>
                <w:noProof/>
                <w:webHidden/>
              </w:rPr>
              <w:t>4</w:t>
            </w:r>
            <w:r>
              <w:rPr>
                <w:noProof/>
                <w:webHidden/>
              </w:rPr>
              <w:fldChar w:fldCharType="end"/>
            </w:r>
          </w:hyperlink>
        </w:p>
        <w:p w14:paraId="7BBF05C2" w14:textId="031CD864"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3" w:history="1">
            <w:r w:rsidRPr="006134B7">
              <w:rPr>
                <w:rStyle w:val="Lienhypertexte"/>
                <w:noProof/>
              </w:rPr>
              <w:t>Section 1.06</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Renouvellement</w:t>
            </w:r>
            <w:r>
              <w:rPr>
                <w:noProof/>
                <w:webHidden/>
              </w:rPr>
              <w:tab/>
            </w:r>
            <w:r>
              <w:rPr>
                <w:noProof/>
                <w:webHidden/>
              </w:rPr>
              <w:fldChar w:fldCharType="begin"/>
            </w:r>
            <w:r>
              <w:rPr>
                <w:noProof/>
                <w:webHidden/>
              </w:rPr>
              <w:instrText xml:space="preserve"> PAGEREF _Toc198637873 \h </w:instrText>
            </w:r>
            <w:r>
              <w:rPr>
                <w:noProof/>
                <w:webHidden/>
              </w:rPr>
            </w:r>
            <w:r>
              <w:rPr>
                <w:noProof/>
                <w:webHidden/>
              </w:rPr>
              <w:fldChar w:fldCharType="separate"/>
            </w:r>
            <w:r>
              <w:rPr>
                <w:noProof/>
                <w:webHidden/>
              </w:rPr>
              <w:t>4</w:t>
            </w:r>
            <w:r>
              <w:rPr>
                <w:noProof/>
                <w:webHidden/>
              </w:rPr>
              <w:fldChar w:fldCharType="end"/>
            </w:r>
          </w:hyperlink>
        </w:p>
        <w:p w14:paraId="6A4CCFBF" w14:textId="2D191C59" w:rsidR="00FE5DEF" w:rsidRDefault="00FE5DE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74" w:history="1">
            <w:r w:rsidRPr="006134B7">
              <w:rPr>
                <w:rStyle w:val="Lienhypertexte"/>
                <w:noProof/>
              </w:rPr>
              <w:t>Article II.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rPr>
              <w:t>PIECES CONSTITUTIVES DU MARCHE</w:t>
            </w:r>
            <w:r>
              <w:rPr>
                <w:noProof/>
                <w:webHidden/>
              </w:rPr>
              <w:tab/>
            </w:r>
            <w:r>
              <w:rPr>
                <w:noProof/>
                <w:webHidden/>
              </w:rPr>
              <w:fldChar w:fldCharType="begin"/>
            </w:r>
            <w:r>
              <w:rPr>
                <w:noProof/>
                <w:webHidden/>
              </w:rPr>
              <w:instrText xml:space="preserve"> PAGEREF _Toc198637874 \h </w:instrText>
            </w:r>
            <w:r>
              <w:rPr>
                <w:noProof/>
                <w:webHidden/>
              </w:rPr>
            </w:r>
            <w:r>
              <w:rPr>
                <w:noProof/>
                <w:webHidden/>
              </w:rPr>
              <w:fldChar w:fldCharType="separate"/>
            </w:r>
            <w:r>
              <w:rPr>
                <w:noProof/>
                <w:webHidden/>
              </w:rPr>
              <w:t>5</w:t>
            </w:r>
            <w:r>
              <w:rPr>
                <w:noProof/>
                <w:webHidden/>
              </w:rPr>
              <w:fldChar w:fldCharType="end"/>
            </w:r>
          </w:hyperlink>
        </w:p>
        <w:p w14:paraId="1FCABE5C" w14:textId="7D08EE78"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5" w:history="1">
            <w:r w:rsidRPr="006134B7">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Les Pièces particulières</w:t>
            </w:r>
            <w:r>
              <w:rPr>
                <w:noProof/>
                <w:webHidden/>
              </w:rPr>
              <w:tab/>
            </w:r>
            <w:r>
              <w:rPr>
                <w:noProof/>
                <w:webHidden/>
              </w:rPr>
              <w:fldChar w:fldCharType="begin"/>
            </w:r>
            <w:r>
              <w:rPr>
                <w:noProof/>
                <w:webHidden/>
              </w:rPr>
              <w:instrText xml:space="preserve"> PAGEREF _Toc198637875 \h </w:instrText>
            </w:r>
            <w:r>
              <w:rPr>
                <w:noProof/>
                <w:webHidden/>
              </w:rPr>
            </w:r>
            <w:r>
              <w:rPr>
                <w:noProof/>
                <w:webHidden/>
              </w:rPr>
              <w:fldChar w:fldCharType="separate"/>
            </w:r>
            <w:r>
              <w:rPr>
                <w:noProof/>
                <w:webHidden/>
              </w:rPr>
              <w:t>5</w:t>
            </w:r>
            <w:r>
              <w:rPr>
                <w:noProof/>
                <w:webHidden/>
              </w:rPr>
              <w:fldChar w:fldCharType="end"/>
            </w:r>
          </w:hyperlink>
        </w:p>
        <w:p w14:paraId="3FF59F72" w14:textId="22A46050"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6" w:history="1">
            <w:r w:rsidRPr="006134B7">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Les pièces générales (*)</w:t>
            </w:r>
            <w:r>
              <w:rPr>
                <w:noProof/>
                <w:webHidden/>
              </w:rPr>
              <w:tab/>
            </w:r>
            <w:r>
              <w:rPr>
                <w:noProof/>
                <w:webHidden/>
              </w:rPr>
              <w:fldChar w:fldCharType="begin"/>
            </w:r>
            <w:r>
              <w:rPr>
                <w:noProof/>
                <w:webHidden/>
              </w:rPr>
              <w:instrText xml:space="preserve"> PAGEREF _Toc198637876 \h </w:instrText>
            </w:r>
            <w:r>
              <w:rPr>
                <w:noProof/>
                <w:webHidden/>
              </w:rPr>
            </w:r>
            <w:r>
              <w:rPr>
                <w:noProof/>
                <w:webHidden/>
              </w:rPr>
              <w:fldChar w:fldCharType="separate"/>
            </w:r>
            <w:r>
              <w:rPr>
                <w:noProof/>
                <w:webHidden/>
              </w:rPr>
              <w:t>5</w:t>
            </w:r>
            <w:r>
              <w:rPr>
                <w:noProof/>
                <w:webHidden/>
              </w:rPr>
              <w:fldChar w:fldCharType="end"/>
            </w:r>
          </w:hyperlink>
        </w:p>
        <w:p w14:paraId="4CF2B1F4" w14:textId="4047ED83" w:rsidR="00FE5DEF" w:rsidRDefault="00FE5DE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77" w:history="1">
            <w:r w:rsidRPr="006134B7">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rPr>
              <w:t>PRIX – REVISION DES PRIX</w:t>
            </w:r>
            <w:r>
              <w:rPr>
                <w:noProof/>
                <w:webHidden/>
              </w:rPr>
              <w:tab/>
            </w:r>
            <w:r>
              <w:rPr>
                <w:noProof/>
                <w:webHidden/>
              </w:rPr>
              <w:fldChar w:fldCharType="begin"/>
            </w:r>
            <w:r>
              <w:rPr>
                <w:noProof/>
                <w:webHidden/>
              </w:rPr>
              <w:instrText xml:space="preserve"> PAGEREF _Toc198637877 \h </w:instrText>
            </w:r>
            <w:r>
              <w:rPr>
                <w:noProof/>
                <w:webHidden/>
              </w:rPr>
            </w:r>
            <w:r>
              <w:rPr>
                <w:noProof/>
                <w:webHidden/>
              </w:rPr>
              <w:fldChar w:fldCharType="separate"/>
            </w:r>
            <w:r>
              <w:rPr>
                <w:noProof/>
                <w:webHidden/>
              </w:rPr>
              <w:t>5</w:t>
            </w:r>
            <w:r>
              <w:rPr>
                <w:noProof/>
                <w:webHidden/>
              </w:rPr>
              <w:fldChar w:fldCharType="end"/>
            </w:r>
          </w:hyperlink>
        </w:p>
        <w:p w14:paraId="15A1B9CE" w14:textId="3D6C739B"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8" w:history="1">
            <w:r w:rsidRPr="006134B7">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Formes des prix</w:t>
            </w:r>
            <w:r>
              <w:rPr>
                <w:noProof/>
                <w:webHidden/>
              </w:rPr>
              <w:tab/>
            </w:r>
            <w:r>
              <w:rPr>
                <w:noProof/>
                <w:webHidden/>
              </w:rPr>
              <w:fldChar w:fldCharType="begin"/>
            </w:r>
            <w:r>
              <w:rPr>
                <w:noProof/>
                <w:webHidden/>
              </w:rPr>
              <w:instrText xml:space="preserve"> PAGEREF _Toc198637878 \h </w:instrText>
            </w:r>
            <w:r>
              <w:rPr>
                <w:noProof/>
                <w:webHidden/>
              </w:rPr>
            </w:r>
            <w:r>
              <w:rPr>
                <w:noProof/>
                <w:webHidden/>
              </w:rPr>
              <w:fldChar w:fldCharType="separate"/>
            </w:r>
            <w:r>
              <w:rPr>
                <w:noProof/>
                <w:webHidden/>
              </w:rPr>
              <w:t>5</w:t>
            </w:r>
            <w:r>
              <w:rPr>
                <w:noProof/>
                <w:webHidden/>
              </w:rPr>
              <w:fldChar w:fldCharType="end"/>
            </w:r>
          </w:hyperlink>
        </w:p>
        <w:p w14:paraId="7861D758" w14:textId="718C8675"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79" w:history="1">
            <w:r w:rsidRPr="006134B7">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Unités d’œuvre</w:t>
            </w:r>
            <w:r>
              <w:rPr>
                <w:noProof/>
                <w:webHidden/>
              </w:rPr>
              <w:tab/>
            </w:r>
            <w:r>
              <w:rPr>
                <w:noProof/>
                <w:webHidden/>
              </w:rPr>
              <w:fldChar w:fldCharType="begin"/>
            </w:r>
            <w:r>
              <w:rPr>
                <w:noProof/>
                <w:webHidden/>
              </w:rPr>
              <w:instrText xml:space="preserve"> PAGEREF _Toc198637879 \h </w:instrText>
            </w:r>
            <w:r>
              <w:rPr>
                <w:noProof/>
                <w:webHidden/>
              </w:rPr>
            </w:r>
            <w:r>
              <w:rPr>
                <w:noProof/>
                <w:webHidden/>
              </w:rPr>
              <w:fldChar w:fldCharType="separate"/>
            </w:r>
            <w:r>
              <w:rPr>
                <w:noProof/>
                <w:webHidden/>
              </w:rPr>
              <w:t>5</w:t>
            </w:r>
            <w:r>
              <w:rPr>
                <w:noProof/>
                <w:webHidden/>
              </w:rPr>
              <w:fldChar w:fldCharType="end"/>
            </w:r>
          </w:hyperlink>
        </w:p>
        <w:p w14:paraId="5C8F3E0F" w14:textId="43964AB2"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80" w:history="1">
            <w:r w:rsidRPr="006134B7">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Contenu des prix</w:t>
            </w:r>
            <w:r>
              <w:rPr>
                <w:noProof/>
                <w:webHidden/>
              </w:rPr>
              <w:tab/>
            </w:r>
            <w:r>
              <w:rPr>
                <w:noProof/>
                <w:webHidden/>
              </w:rPr>
              <w:fldChar w:fldCharType="begin"/>
            </w:r>
            <w:r>
              <w:rPr>
                <w:noProof/>
                <w:webHidden/>
              </w:rPr>
              <w:instrText xml:space="preserve"> PAGEREF _Toc198637880 \h </w:instrText>
            </w:r>
            <w:r>
              <w:rPr>
                <w:noProof/>
                <w:webHidden/>
              </w:rPr>
            </w:r>
            <w:r>
              <w:rPr>
                <w:noProof/>
                <w:webHidden/>
              </w:rPr>
              <w:fldChar w:fldCharType="separate"/>
            </w:r>
            <w:r>
              <w:rPr>
                <w:noProof/>
                <w:webHidden/>
              </w:rPr>
              <w:t>6</w:t>
            </w:r>
            <w:r>
              <w:rPr>
                <w:noProof/>
                <w:webHidden/>
              </w:rPr>
              <w:fldChar w:fldCharType="end"/>
            </w:r>
          </w:hyperlink>
        </w:p>
        <w:p w14:paraId="7E4C9F49" w14:textId="3098BD9F"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81" w:history="1">
            <w:r w:rsidRPr="006134B7">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Révision des prix</w:t>
            </w:r>
            <w:r>
              <w:rPr>
                <w:noProof/>
                <w:webHidden/>
              </w:rPr>
              <w:tab/>
            </w:r>
            <w:r>
              <w:rPr>
                <w:noProof/>
                <w:webHidden/>
              </w:rPr>
              <w:fldChar w:fldCharType="begin"/>
            </w:r>
            <w:r>
              <w:rPr>
                <w:noProof/>
                <w:webHidden/>
              </w:rPr>
              <w:instrText xml:space="preserve"> PAGEREF _Toc198637881 \h </w:instrText>
            </w:r>
            <w:r>
              <w:rPr>
                <w:noProof/>
                <w:webHidden/>
              </w:rPr>
            </w:r>
            <w:r>
              <w:rPr>
                <w:noProof/>
                <w:webHidden/>
              </w:rPr>
              <w:fldChar w:fldCharType="separate"/>
            </w:r>
            <w:r>
              <w:rPr>
                <w:noProof/>
                <w:webHidden/>
              </w:rPr>
              <w:t>6</w:t>
            </w:r>
            <w:r>
              <w:rPr>
                <w:noProof/>
                <w:webHidden/>
              </w:rPr>
              <w:fldChar w:fldCharType="end"/>
            </w:r>
          </w:hyperlink>
        </w:p>
        <w:p w14:paraId="5C87AB8E" w14:textId="6B8A3125"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82" w:history="1">
            <w:r w:rsidRPr="006134B7">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rPr>
              <w:t>MODE DE FACTURATION</w:t>
            </w:r>
            <w:r>
              <w:rPr>
                <w:noProof/>
                <w:webHidden/>
              </w:rPr>
              <w:tab/>
            </w:r>
            <w:r>
              <w:rPr>
                <w:noProof/>
                <w:webHidden/>
              </w:rPr>
              <w:fldChar w:fldCharType="begin"/>
            </w:r>
            <w:r>
              <w:rPr>
                <w:noProof/>
                <w:webHidden/>
              </w:rPr>
              <w:instrText xml:space="preserve"> PAGEREF _Toc198637882 \h </w:instrText>
            </w:r>
            <w:r>
              <w:rPr>
                <w:noProof/>
                <w:webHidden/>
              </w:rPr>
            </w:r>
            <w:r>
              <w:rPr>
                <w:noProof/>
                <w:webHidden/>
              </w:rPr>
              <w:fldChar w:fldCharType="separate"/>
            </w:r>
            <w:r>
              <w:rPr>
                <w:noProof/>
                <w:webHidden/>
              </w:rPr>
              <w:t>7</w:t>
            </w:r>
            <w:r>
              <w:rPr>
                <w:noProof/>
                <w:webHidden/>
              </w:rPr>
              <w:fldChar w:fldCharType="end"/>
            </w:r>
          </w:hyperlink>
        </w:p>
        <w:p w14:paraId="5BCD4020" w14:textId="23096AAF"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83" w:history="1">
            <w:r w:rsidRPr="006134B7">
              <w:rPr>
                <w:rStyle w:val="Lienhypertexte"/>
                <w:rFonts w:eastAsiaTheme="minorHAnsi"/>
                <w:noProof/>
                <w:lang w:val="fr-BE"/>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rFonts w:eastAsiaTheme="minorHAnsi"/>
                <w:noProof/>
                <w:lang w:val="fr-BE"/>
              </w:rPr>
              <w:t>Clauses de réception et paiement associés</w:t>
            </w:r>
            <w:r>
              <w:rPr>
                <w:noProof/>
                <w:webHidden/>
              </w:rPr>
              <w:tab/>
            </w:r>
            <w:r>
              <w:rPr>
                <w:noProof/>
                <w:webHidden/>
              </w:rPr>
              <w:fldChar w:fldCharType="begin"/>
            </w:r>
            <w:r>
              <w:rPr>
                <w:noProof/>
                <w:webHidden/>
              </w:rPr>
              <w:instrText xml:space="preserve"> PAGEREF _Toc198637883 \h </w:instrText>
            </w:r>
            <w:r>
              <w:rPr>
                <w:noProof/>
                <w:webHidden/>
              </w:rPr>
            </w:r>
            <w:r>
              <w:rPr>
                <w:noProof/>
                <w:webHidden/>
              </w:rPr>
              <w:fldChar w:fldCharType="separate"/>
            </w:r>
            <w:r>
              <w:rPr>
                <w:noProof/>
                <w:webHidden/>
              </w:rPr>
              <w:t>7</w:t>
            </w:r>
            <w:r>
              <w:rPr>
                <w:noProof/>
                <w:webHidden/>
              </w:rPr>
              <w:fldChar w:fldCharType="end"/>
            </w:r>
          </w:hyperlink>
        </w:p>
        <w:p w14:paraId="6C21E7C9" w14:textId="4442D25F" w:rsidR="00FE5DEF" w:rsidRDefault="00FE5DE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637884" w:history="1">
            <w:r w:rsidRPr="006134B7">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6134B7">
              <w:rPr>
                <w:rStyle w:val="Lienhypertexte"/>
                <w:noProof/>
              </w:rPr>
              <w:t>Réception provisoire :</w:t>
            </w:r>
            <w:r>
              <w:rPr>
                <w:noProof/>
                <w:webHidden/>
              </w:rPr>
              <w:tab/>
            </w:r>
            <w:r>
              <w:rPr>
                <w:noProof/>
                <w:webHidden/>
              </w:rPr>
              <w:fldChar w:fldCharType="begin"/>
            </w:r>
            <w:r>
              <w:rPr>
                <w:noProof/>
                <w:webHidden/>
              </w:rPr>
              <w:instrText xml:space="preserve"> PAGEREF _Toc198637884 \h </w:instrText>
            </w:r>
            <w:r>
              <w:rPr>
                <w:noProof/>
                <w:webHidden/>
              </w:rPr>
            </w:r>
            <w:r>
              <w:rPr>
                <w:noProof/>
                <w:webHidden/>
              </w:rPr>
              <w:fldChar w:fldCharType="separate"/>
            </w:r>
            <w:r>
              <w:rPr>
                <w:noProof/>
                <w:webHidden/>
              </w:rPr>
              <w:t>7</w:t>
            </w:r>
            <w:r>
              <w:rPr>
                <w:noProof/>
                <w:webHidden/>
              </w:rPr>
              <w:fldChar w:fldCharType="end"/>
            </w:r>
          </w:hyperlink>
        </w:p>
        <w:p w14:paraId="6BC5F3E4" w14:textId="10A360E6" w:rsidR="00FE5DEF" w:rsidRDefault="00FE5DE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637885" w:history="1">
            <w:r w:rsidRPr="006134B7">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6134B7">
              <w:rPr>
                <w:rStyle w:val="Lienhypertexte"/>
                <w:noProof/>
              </w:rPr>
              <w:t>Levée des dernières réserves :</w:t>
            </w:r>
            <w:r>
              <w:rPr>
                <w:noProof/>
                <w:webHidden/>
              </w:rPr>
              <w:tab/>
            </w:r>
            <w:r>
              <w:rPr>
                <w:noProof/>
                <w:webHidden/>
              </w:rPr>
              <w:fldChar w:fldCharType="begin"/>
            </w:r>
            <w:r>
              <w:rPr>
                <w:noProof/>
                <w:webHidden/>
              </w:rPr>
              <w:instrText xml:space="preserve"> PAGEREF _Toc198637885 \h </w:instrText>
            </w:r>
            <w:r>
              <w:rPr>
                <w:noProof/>
                <w:webHidden/>
              </w:rPr>
            </w:r>
            <w:r>
              <w:rPr>
                <w:noProof/>
                <w:webHidden/>
              </w:rPr>
              <w:fldChar w:fldCharType="separate"/>
            </w:r>
            <w:r>
              <w:rPr>
                <w:noProof/>
                <w:webHidden/>
              </w:rPr>
              <w:t>7</w:t>
            </w:r>
            <w:r>
              <w:rPr>
                <w:noProof/>
                <w:webHidden/>
              </w:rPr>
              <w:fldChar w:fldCharType="end"/>
            </w:r>
          </w:hyperlink>
        </w:p>
        <w:p w14:paraId="242A64FF" w14:textId="189971E9"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86" w:history="1">
            <w:r w:rsidRPr="006134B7">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Termes de paiement</w:t>
            </w:r>
            <w:r>
              <w:rPr>
                <w:noProof/>
                <w:webHidden/>
              </w:rPr>
              <w:tab/>
            </w:r>
            <w:r>
              <w:rPr>
                <w:noProof/>
                <w:webHidden/>
              </w:rPr>
              <w:fldChar w:fldCharType="begin"/>
            </w:r>
            <w:r>
              <w:rPr>
                <w:noProof/>
                <w:webHidden/>
              </w:rPr>
              <w:instrText xml:space="preserve"> PAGEREF _Toc198637886 \h </w:instrText>
            </w:r>
            <w:r>
              <w:rPr>
                <w:noProof/>
                <w:webHidden/>
              </w:rPr>
            </w:r>
            <w:r>
              <w:rPr>
                <w:noProof/>
                <w:webHidden/>
              </w:rPr>
              <w:fldChar w:fldCharType="separate"/>
            </w:r>
            <w:r>
              <w:rPr>
                <w:noProof/>
                <w:webHidden/>
              </w:rPr>
              <w:t>7</w:t>
            </w:r>
            <w:r>
              <w:rPr>
                <w:noProof/>
                <w:webHidden/>
              </w:rPr>
              <w:fldChar w:fldCharType="end"/>
            </w:r>
          </w:hyperlink>
        </w:p>
        <w:p w14:paraId="09714529" w14:textId="5DC250EE" w:rsidR="00FE5DEF" w:rsidRDefault="00FE5DE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637887" w:history="1">
            <w:r w:rsidRPr="006134B7">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6134B7">
              <w:rPr>
                <w:rStyle w:val="Lienhypertexte"/>
                <w:noProof/>
              </w:rPr>
              <w:t>Modalités de paiement</w:t>
            </w:r>
            <w:r>
              <w:rPr>
                <w:noProof/>
                <w:webHidden/>
              </w:rPr>
              <w:tab/>
            </w:r>
            <w:r>
              <w:rPr>
                <w:noProof/>
                <w:webHidden/>
              </w:rPr>
              <w:fldChar w:fldCharType="begin"/>
            </w:r>
            <w:r>
              <w:rPr>
                <w:noProof/>
                <w:webHidden/>
              </w:rPr>
              <w:instrText xml:space="preserve"> PAGEREF _Toc198637887 \h </w:instrText>
            </w:r>
            <w:r>
              <w:rPr>
                <w:noProof/>
                <w:webHidden/>
              </w:rPr>
            </w:r>
            <w:r>
              <w:rPr>
                <w:noProof/>
                <w:webHidden/>
              </w:rPr>
              <w:fldChar w:fldCharType="separate"/>
            </w:r>
            <w:r>
              <w:rPr>
                <w:noProof/>
                <w:webHidden/>
              </w:rPr>
              <w:t>7</w:t>
            </w:r>
            <w:r>
              <w:rPr>
                <w:noProof/>
                <w:webHidden/>
              </w:rPr>
              <w:fldChar w:fldCharType="end"/>
            </w:r>
          </w:hyperlink>
        </w:p>
        <w:p w14:paraId="5976E40D" w14:textId="06C2D19A" w:rsidR="00FE5DEF" w:rsidRDefault="00FE5DE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88" w:history="1">
            <w:r w:rsidRPr="006134B7">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rPr>
              <w:t>PENALITES</w:t>
            </w:r>
            <w:r>
              <w:rPr>
                <w:noProof/>
                <w:webHidden/>
              </w:rPr>
              <w:tab/>
            </w:r>
            <w:r>
              <w:rPr>
                <w:noProof/>
                <w:webHidden/>
              </w:rPr>
              <w:fldChar w:fldCharType="begin"/>
            </w:r>
            <w:r>
              <w:rPr>
                <w:noProof/>
                <w:webHidden/>
              </w:rPr>
              <w:instrText xml:space="preserve"> PAGEREF _Toc198637888 \h </w:instrText>
            </w:r>
            <w:r>
              <w:rPr>
                <w:noProof/>
                <w:webHidden/>
              </w:rPr>
            </w:r>
            <w:r>
              <w:rPr>
                <w:noProof/>
                <w:webHidden/>
              </w:rPr>
              <w:fldChar w:fldCharType="separate"/>
            </w:r>
            <w:r>
              <w:rPr>
                <w:noProof/>
                <w:webHidden/>
              </w:rPr>
              <w:t>8</w:t>
            </w:r>
            <w:r>
              <w:rPr>
                <w:noProof/>
                <w:webHidden/>
              </w:rPr>
              <w:fldChar w:fldCharType="end"/>
            </w:r>
          </w:hyperlink>
        </w:p>
        <w:p w14:paraId="41179C5E" w14:textId="01679971"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89" w:history="1">
            <w:r w:rsidRPr="006134B7">
              <w:rPr>
                <w:rStyle w:val="Lienhypertexte"/>
                <w:noProof/>
                <w:lang w:val="fr-BE"/>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lang w:val="fr-BE"/>
              </w:rPr>
              <w:t>NON-SUBSTITUTION DU PERSONNEL</w:t>
            </w:r>
            <w:r>
              <w:rPr>
                <w:noProof/>
                <w:webHidden/>
              </w:rPr>
              <w:tab/>
            </w:r>
            <w:r>
              <w:rPr>
                <w:noProof/>
                <w:webHidden/>
              </w:rPr>
              <w:fldChar w:fldCharType="begin"/>
            </w:r>
            <w:r>
              <w:rPr>
                <w:noProof/>
                <w:webHidden/>
              </w:rPr>
              <w:instrText xml:space="preserve"> PAGEREF _Toc198637889 \h </w:instrText>
            </w:r>
            <w:r>
              <w:rPr>
                <w:noProof/>
                <w:webHidden/>
              </w:rPr>
            </w:r>
            <w:r>
              <w:rPr>
                <w:noProof/>
                <w:webHidden/>
              </w:rPr>
              <w:fldChar w:fldCharType="separate"/>
            </w:r>
            <w:r>
              <w:rPr>
                <w:noProof/>
                <w:webHidden/>
              </w:rPr>
              <w:t>9</w:t>
            </w:r>
            <w:r>
              <w:rPr>
                <w:noProof/>
                <w:webHidden/>
              </w:rPr>
              <w:fldChar w:fldCharType="end"/>
            </w:r>
          </w:hyperlink>
        </w:p>
        <w:p w14:paraId="41D68D3A" w14:textId="337D8538"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0" w:history="1">
            <w:r w:rsidRPr="006134B7">
              <w:rPr>
                <w:rStyle w:val="Lienhypertexte"/>
                <w:noProof/>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rPr>
              <w:t>Prix</w:t>
            </w:r>
            <w:r>
              <w:rPr>
                <w:noProof/>
                <w:webHidden/>
              </w:rPr>
              <w:tab/>
            </w:r>
            <w:r>
              <w:rPr>
                <w:noProof/>
                <w:webHidden/>
              </w:rPr>
              <w:fldChar w:fldCharType="begin"/>
            </w:r>
            <w:r>
              <w:rPr>
                <w:noProof/>
                <w:webHidden/>
              </w:rPr>
              <w:instrText xml:space="preserve"> PAGEREF _Toc198637890 \h </w:instrText>
            </w:r>
            <w:r>
              <w:rPr>
                <w:noProof/>
                <w:webHidden/>
              </w:rPr>
            </w:r>
            <w:r>
              <w:rPr>
                <w:noProof/>
                <w:webHidden/>
              </w:rPr>
              <w:fldChar w:fldCharType="separate"/>
            </w:r>
            <w:r>
              <w:rPr>
                <w:noProof/>
                <w:webHidden/>
              </w:rPr>
              <w:t>10</w:t>
            </w:r>
            <w:r>
              <w:rPr>
                <w:noProof/>
                <w:webHidden/>
              </w:rPr>
              <w:fldChar w:fldCharType="end"/>
            </w:r>
          </w:hyperlink>
        </w:p>
        <w:p w14:paraId="5EF4C40F" w14:textId="338E87D4"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1" w:history="1">
            <w:r w:rsidRPr="006134B7">
              <w:rPr>
                <w:rStyle w:val="Lienhypertexte"/>
                <w:noProof/>
              </w:rPr>
              <w:t>Article VIII.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rPr>
              <w:t>Etendue du prix</w:t>
            </w:r>
            <w:r>
              <w:rPr>
                <w:noProof/>
                <w:webHidden/>
              </w:rPr>
              <w:tab/>
            </w:r>
            <w:r>
              <w:rPr>
                <w:noProof/>
                <w:webHidden/>
              </w:rPr>
              <w:fldChar w:fldCharType="begin"/>
            </w:r>
            <w:r>
              <w:rPr>
                <w:noProof/>
                <w:webHidden/>
              </w:rPr>
              <w:instrText xml:space="preserve"> PAGEREF _Toc198637891 \h </w:instrText>
            </w:r>
            <w:r>
              <w:rPr>
                <w:noProof/>
                <w:webHidden/>
              </w:rPr>
            </w:r>
            <w:r>
              <w:rPr>
                <w:noProof/>
                <w:webHidden/>
              </w:rPr>
              <w:fldChar w:fldCharType="separate"/>
            </w:r>
            <w:r>
              <w:rPr>
                <w:noProof/>
                <w:webHidden/>
              </w:rPr>
              <w:t>10</w:t>
            </w:r>
            <w:r>
              <w:rPr>
                <w:noProof/>
                <w:webHidden/>
              </w:rPr>
              <w:fldChar w:fldCharType="end"/>
            </w:r>
          </w:hyperlink>
        </w:p>
        <w:p w14:paraId="6F12530E" w14:textId="03F6CF9A"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2" w:history="1">
            <w:r w:rsidRPr="006134B7">
              <w:rPr>
                <w:rStyle w:val="Lienhypertexte"/>
                <w:rFonts w:eastAsiaTheme="minorHAnsi"/>
                <w:noProof/>
                <w:lang w:val="fr-BE"/>
              </w:rPr>
              <w:t>Article IX.</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rFonts w:eastAsiaTheme="minorHAnsi"/>
                <w:noProof/>
                <w:lang w:val="fr-BE"/>
              </w:rPr>
              <w:t>DÉLAIS D’EXÉCUTION</w:t>
            </w:r>
            <w:r>
              <w:rPr>
                <w:noProof/>
                <w:webHidden/>
              </w:rPr>
              <w:tab/>
            </w:r>
            <w:r>
              <w:rPr>
                <w:noProof/>
                <w:webHidden/>
              </w:rPr>
              <w:fldChar w:fldCharType="begin"/>
            </w:r>
            <w:r>
              <w:rPr>
                <w:noProof/>
                <w:webHidden/>
              </w:rPr>
              <w:instrText xml:space="preserve"> PAGEREF _Toc198637892 \h </w:instrText>
            </w:r>
            <w:r>
              <w:rPr>
                <w:noProof/>
                <w:webHidden/>
              </w:rPr>
            </w:r>
            <w:r>
              <w:rPr>
                <w:noProof/>
                <w:webHidden/>
              </w:rPr>
              <w:fldChar w:fldCharType="separate"/>
            </w:r>
            <w:r>
              <w:rPr>
                <w:noProof/>
                <w:webHidden/>
              </w:rPr>
              <w:t>10</w:t>
            </w:r>
            <w:r>
              <w:rPr>
                <w:noProof/>
                <w:webHidden/>
              </w:rPr>
              <w:fldChar w:fldCharType="end"/>
            </w:r>
          </w:hyperlink>
        </w:p>
        <w:p w14:paraId="2D093799" w14:textId="31E81BFA" w:rsidR="00FE5DEF" w:rsidRDefault="00FE5DE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3" w:history="1">
            <w:r w:rsidRPr="006134B7">
              <w:rPr>
                <w:rStyle w:val="Lienhypertexte"/>
                <w:rFonts w:eastAsiaTheme="minorHAnsi"/>
                <w:noProof/>
                <w:lang w:val="fr-BE"/>
              </w:rPr>
              <w:t>Article X.</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rFonts w:eastAsiaTheme="minorHAnsi"/>
                <w:noProof/>
                <w:lang w:val="fr-BE"/>
              </w:rPr>
              <w:t>LIVRAISON DES LIVRABLES</w:t>
            </w:r>
            <w:r>
              <w:rPr>
                <w:noProof/>
                <w:webHidden/>
              </w:rPr>
              <w:tab/>
            </w:r>
            <w:r>
              <w:rPr>
                <w:noProof/>
                <w:webHidden/>
              </w:rPr>
              <w:fldChar w:fldCharType="begin"/>
            </w:r>
            <w:r>
              <w:rPr>
                <w:noProof/>
                <w:webHidden/>
              </w:rPr>
              <w:instrText xml:space="preserve"> PAGEREF _Toc198637893 \h </w:instrText>
            </w:r>
            <w:r>
              <w:rPr>
                <w:noProof/>
                <w:webHidden/>
              </w:rPr>
            </w:r>
            <w:r>
              <w:rPr>
                <w:noProof/>
                <w:webHidden/>
              </w:rPr>
              <w:fldChar w:fldCharType="separate"/>
            </w:r>
            <w:r>
              <w:rPr>
                <w:noProof/>
                <w:webHidden/>
              </w:rPr>
              <w:t>10</w:t>
            </w:r>
            <w:r>
              <w:rPr>
                <w:noProof/>
                <w:webHidden/>
              </w:rPr>
              <w:fldChar w:fldCharType="end"/>
            </w:r>
          </w:hyperlink>
        </w:p>
        <w:p w14:paraId="55A6B7A1" w14:textId="27808601"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4" w:history="1">
            <w:r w:rsidRPr="006134B7">
              <w:rPr>
                <w:rStyle w:val="Lienhypertexte"/>
                <w:noProof/>
                <w:lang w:val="fr-BE"/>
              </w:rPr>
              <w:t>Article XI.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lang w:val="fr-BE"/>
              </w:rPr>
              <w:t>GARANTIE TECHNIQUE ET RESPONSABILITÉ POSTÉRIEURE</w:t>
            </w:r>
            <w:r>
              <w:rPr>
                <w:noProof/>
                <w:webHidden/>
              </w:rPr>
              <w:tab/>
            </w:r>
            <w:r>
              <w:rPr>
                <w:noProof/>
                <w:webHidden/>
              </w:rPr>
              <w:fldChar w:fldCharType="begin"/>
            </w:r>
            <w:r>
              <w:rPr>
                <w:noProof/>
                <w:webHidden/>
              </w:rPr>
              <w:instrText xml:space="preserve"> PAGEREF _Toc198637894 \h </w:instrText>
            </w:r>
            <w:r>
              <w:rPr>
                <w:noProof/>
                <w:webHidden/>
              </w:rPr>
            </w:r>
            <w:r>
              <w:rPr>
                <w:noProof/>
                <w:webHidden/>
              </w:rPr>
              <w:fldChar w:fldCharType="separate"/>
            </w:r>
            <w:r>
              <w:rPr>
                <w:noProof/>
                <w:webHidden/>
              </w:rPr>
              <w:t>10</w:t>
            </w:r>
            <w:r>
              <w:rPr>
                <w:noProof/>
                <w:webHidden/>
              </w:rPr>
              <w:fldChar w:fldCharType="end"/>
            </w:r>
          </w:hyperlink>
        </w:p>
        <w:p w14:paraId="77DF8D87" w14:textId="150C54D7"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5" w:history="1">
            <w:r w:rsidRPr="006134B7">
              <w:rPr>
                <w:rStyle w:val="Lienhypertexte"/>
                <w:noProof/>
                <w:lang w:val="fr-BE"/>
              </w:rPr>
              <w:t>Article XII.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lang w:val="fr-BE"/>
              </w:rPr>
              <w:t>PROPRIÉTÉ INTELLECTUELLE DES LIVRABLES</w:t>
            </w:r>
            <w:r>
              <w:rPr>
                <w:noProof/>
                <w:webHidden/>
              </w:rPr>
              <w:tab/>
            </w:r>
            <w:r>
              <w:rPr>
                <w:noProof/>
                <w:webHidden/>
              </w:rPr>
              <w:fldChar w:fldCharType="begin"/>
            </w:r>
            <w:r>
              <w:rPr>
                <w:noProof/>
                <w:webHidden/>
              </w:rPr>
              <w:instrText xml:space="preserve"> PAGEREF _Toc198637895 \h </w:instrText>
            </w:r>
            <w:r>
              <w:rPr>
                <w:noProof/>
                <w:webHidden/>
              </w:rPr>
            </w:r>
            <w:r>
              <w:rPr>
                <w:noProof/>
                <w:webHidden/>
              </w:rPr>
              <w:fldChar w:fldCharType="separate"/>
            </w:r>
            <w:r>
              <w:rPr>
                <w:noProof/>
                <w:webHidden/>
              </w:rPr>
              <w:t>11</w:t>
            </w:r>
            <w:r>
              <w:rPr>
                <w:noProof/>
                <w:webHidden/>
              </w:rPr>
              <w:fldChar w:fldCharType="end"/>
            </w:r>
          </w:hyperlink>
        </w:p>
        <w:p w14:paraId="56455F6A" w14:textId="3468AE85"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6" w:history="1">
            <w:r w:rsidRPr="006134B7">
              <w:rPr>
                <w:rStyle w:val="Lienhypertexte"/>
                <w:noProof/>
              </w:rPr>
              <w:t>Article XIII.</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rPr>
              <w:t>DIFFERENDS ET LITIGES</w:t>
            </w:r>
            <w:r>
              <w:rPr>
                <w:noProof/>
                <w:webHidden/>
              </w:rPr>
              <w:tab/>
            </w:r>
            <w:r>
              <w:rPr>
                <w:noProof/>
                <w:webHidden/>
              </w:rPr>
              <w:fldChar w:fldCharType="begin"/>
            </w:r>
            <w:r>
              <w:rPr>
                <w:noProof/>
                <w:webHidden/>
              </w:rPr>
              <w:instrText xml:space="preserve"> PAGEREF _Toc198637896 \h </w:instrText>
            </w:r>
            <w:r>
              <w:rPr>
                <w:noProof/>
                <w:webHidden/>
              </w:rPr>
            </w:r>
            <w:r>
              <w:rPr>
                <w:noProof/>
                <w:webHidden/>
              </w:rPr>
              <w:fldChar w:fldCharType="separate"/>
            </w:r>
            <w:r>
              <w:rPr>
                <w:noProof/>
                <w:webHidden/>
              </w:rPr>
              <w:t>11</w:t>
            </w:r>
            <w:r>
              <w:rPr>
                <w:noProof/>
                <w:webHidden/>
              </w:rPr>
              <w:fldChar w:fldCharType="end"/>
            </w:r>
          </w:hyperlink>
        </w:p>
        <w:p w14:paraId="3E6A4A96" w14:textId="698E8665" w:rsidR="00FE5DEF" w:rsidRDefault="00FE5DE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637897" w:history="1">
            <w:r w:rsidRPr="006134B7">
              <w:rPr>
                <w:rStyle w:val="Lienhypertexte"/>
                <w:noProof/>
                <w:lang w:val="fr-BE"/>
              </w:rPr>
              <w:t>Article XIV.</w:t>
            </w:r>
            <w:r>
              <w:rPr>
                <w:rFonts w:asciiTheme="minorHAnsi" w:eastAsiaTheme="minorEastAsia" w:hAnsiTheme="minorHAnsi" w:cstheme="minorBidi"/>
                <w:b w:val="0"/>
                <w:bCs w:val="0"/>
                <w:i w:val="0"/>
                <w:iCs w:val="0"/>
                <w:noProof/>
                <w:kern w:val="2"/>
                <w:lang w:val="fr-BE" w:eastAsia="fr-BE"/>
                <w14:ligatures w14:val="standardContextual"/>
              </w:rPr>
              <w:tab/>
            </w:r>
            <w:r w:rsidRPr="006134B7">
              <w:rPr>
                <w:rStyle w:val="Lienhypertexte"/>
                <w:noProof/>
                <w:lang w:val="fr-BE"/>
              </w:rPr>
              <w:t>Dérogations au CCAG</w:t>
            </w:r>
            <w:r>
              <w:rPr>
                <w:noProof/>
                <w:webHidden/>
              </w:rPr>
              <w:tab/>
            </w:r>
            <w:r>
              <w:rPr>
                <w:noProof/>
                <w:webHidden/>
              </w:rPr>
              <w:fldChar w:fldCharType="begin"/>
            </w:r>
            <w:r>
              <w:rPr>
                <w:noProof/>
                <w:webHidden/>
              </w:rPr>
              <w:instrText xml:space="preserve"> PAGEREF _Toc198637897 \h </w:instrText>
            </w:r>
            <w:r>
              <w:rPr>
                <w:noProof/>
                <w:webHidden/>
              </w:rPr>
            </w:r>
            <w:r>
              <w:rPr>
                <w:noProof/>
                <w:webHidden/>
              </w:rPr>
              <w:fldChar w:fldCharType="separate"/>
            </w:r>
            <w:r>
              <w:rPr>
                <w:noProof/>
                <w:webHidden/>
              </w:rPr>
              <w:t>11</w:t>
            </w:r>
            <w:r>
              <w:rPr>
                <w:noProof/>
                <w:webHidden/>
              </w:rPr>
              <w:fldChar w:fldCharType="end"/>
            </w:r>
          </w:hyperlink>
        </w:p>
        <w:p w14:paraId="0D629C3A" w14:textId="0EBC379C" w:rsidR="00AA7022" w:rsidRDefault="00AA7022">
          <w:r>
            <w:rPr>
              <w:b/>
              <w:bCs/>
            </w:rPr>
            <w:fldChar w:fldCharType="end"/>
          </w:r>
        </w:p>
      </w:sdtContent>
    </w:sdt>
    <w:p w14:paraId="7272DB8C" w14:textId="77777777" w:rsidR="00C83A6C" w:rsidRDefault="00C83A6C" w:rsidP="00993119"/>
    <w:p w14:paraId="56CC727E" w14:textId="1188A9CD" w:rsidR="002C6C58" w:rsidRPr="00394727" w:rsidRDefault="002C6C58" w:rsidP="00394727">
      <w:pPr>
        <w:pStyle w:val="Titre1"/>
      </w:pPr>
      <w:bookmarkStart w:id="4" w:name="_Toc198637867"/>
      <w:r w:rsidRPr="00394727">
        <w:lastRenderedPageBreak/>
        <w:t>OBJET DU MARCHE</w:t>
      </w:r>
      <w:bookmarkEnd w:id="4"/>
    </w:p>
    <w:p w14:paraId="42E526CF" w14:textId="77777777" w:rsidR="002C6C58" w:rsidRPr="009D7405" w:rsidRDefault="002C6C58" w:rsidP="009D7405">
      <w:pPr>
        <w:pStyle w:val="Titre2"/>
      </w:pPr>
      <w:bookmarkStart w:id="5" w:name="_Toc161406916"/>
      <w:bookmarkStart w:id="6" w:name="_Toc198637868"/>
      <w:r w:rsidRPr="009D7405">
        <w:t>Partie contractante</w:t>
      </w:r>
      <w:bookmarkEnd w:id="5"/>
      <w:bookmarkEnd w:id="6"/>
    </w:p>
    <w:p w14:paraId="6C0EAF22" w14:textId="0AB720B0" w:rsidR="002C6C58" w:rsidRDefault="002C6C58" w:rsidP="00C83A6C">
      <w:pPr>
        <w:ind w:left="-1134"/>
        <w:jc w:val="both"/>
      </w:pPr>
      <w:r>
        <w:t xml:space="preserve">Le marché est passé pour le compte du </w:t>
      </w:r>
      <w:r w:rsidRPr="00072995">
        <w:t>Grand Port Maritime de la Guyane (</w:t>
      </w:r>
      <w:r w:rsidR="00433D73" w:rsidRPr="00072995">
        <w:t>GPM-Guyane</w:t>
      </w:r>
      <w:r w:rsidRPr="00072995">
        <w:t>),</w:t>
      </w:r>
      <w:r>
        <w:t xml:space="preserve"> représenté par son directeur général. Le </w:t>
      </w:r>
      <w:r w:rsidR="00433D73" w:rsidRPr="00433D73">
        <w:t>GPM-Guyane</w:t>
      </w:r>
      <w:r>
        <w:t xml:space="preserve"> est un établissement public à caractère industriel et commercial (EPIC) dont le siège est situé à :</w:t>
      </w:r>
    </w:p>
    <w:p w14:paraId="70BF4182" w14:textId="5D73EF8C" w:rsidR="002C6C58" w:rsidRDefault="002C6C58" w:rsidP="002C6C58">
      <w:pPr>
        <w:spacing w:before="120" w:after="120"/>
        <w:ind w:left="-1418"/>
        <w:jc w:val="center"/>
      </w:pPr>
      <w:r w:rsidRPr="002C6C58">
        <w:t>Zone de Dégrad des cannes 97354 Rémire- Montjol</w:t>
      </w:r>
      <w:r w:rsidR="00717480">
        <w:t>y</w:t>
      </w:r>
    </w:p>
    <w:p w14:paraId="7DAF8405" w14:textId="433B55D9" w:rsidR="002C6C58" w:rsidRDefault="002C6C58" w:rsidP="002C6C58">
      <w:pPr>
        <w:spacing w:before="120" w:after="120"/>
        <w:ind w:left="-1418"/>
        <w:jc w:val="center"/>
      </w:pPr>
      <w:r w:rsidRPr="002C6C58">
        <w:t>Guyane française</w:t>
      </w:r>
    </w:p>
    <w:p w14:paraId="6C52FBF9" w14:textId="1AC41DFD" w:rsidR="002C6C58" w:rsidRDefault="002C6C58" w:rsidP="002C6C58">
      <w:pPr>
        <w:spacing w:before="120" w:after="120"/>
        <w:ind w:left="-1418"/>
        <w:jc w:val="center"/>
      </w:pPr>
      <w:r>
        <w:t>France</w:t>
      </w:r>
    </w:p>
    <w:p w14:paraId="399EB324" w14:textId="486205CA" w:rsidR="002C6C58" w:rsidRDefault="002C6C58" w:rsidP="009D7405">
      <w:pPr>
        <w:pStyle w:val="Titre2"/>
      </w:pPr>
      <w:bookmarkStart w:id="7" w:name="_Toc198637869"/>
      <w:bookmarkStart w:id="8" w:name="_Toc161406917"/>
      <w:r w:rsidRPr="00BD48F4">
        <w:t>Objet du marché</w:t>
      </w:r>
      <w:bookmarkEnd w:id="7"/>
      <w:r w:rsidRPr="00BD48F4">
        <w:t xml:space="preserve"> </w:t>
      </w:r>
      <w:bookmarkEnd w:id="8"/>
    </w:p>
    <w:p w14:paraId="75283EA0" w14:textId="77777777" w:rsidR="00072995" w:rsidRPr="004567BF" w:rsidRDefault="00072995" w:rsidP="00072995">
      <w:pPr>
        <w:ind w:left="-1134"/>
        <w:rPr>
          <w:lang w:eastAsia="fr-FR"/>
        </w:rPr>
      </w:pPr>
      <w:bookmarkStart w:id="9" w:name="_Hlk198558246"/>
      <w:bookmarkStart w:id="10" w:name="_Hlk198732574"/>
      <w:r w:rsidRPr="004567BF">
        <w:rPr>
          <w:lang w:eastAsia="fr-FR"/>
        </w:rPr>
        <w:t>La mission porte sur la révision de l’étude de dangers qui fait l’objet d’un réexamen au moins tous les cinq ans et d’une mise à jour si nécessaire (article R.512-9 du code de l’environnement).</w:t>
      </w:r>
    </w:p>
    <w:p w14:paraId="23F7850D" w14:textId="77777777" w:rsidR="00072995" w:rsidRPr="004567BF" w:rsidRDefault="00072995" w:rsidP="00072995">
      <w:pPr>
        <w:ind w:left="-1134"/>
        <w:rPr>
          <w:lang w:eastAsia="fr-FR"/>
        </w:rPr>
      </w:pPr>
      <w:r w:rsidRPr="004567BF">
        <w:rPr>
          <w:lang w:eastAsia="fr-FR"/>
        </w:rPr>
        <w:t>Les objectifs de l’examen quinquennal sont :</w:t>
      </w:r>
    </w:p>
    <w:p w14:paraId="69B80030" w14:textId="77777777" w:rsidR="00072995" w:rsidRPr="004567BF" w:rsidRDefault="00072995" w:rsidP="006E3ED0">
      <w:pPr>
        <w:pStyle w:val="Paragraphedeliste"/>
        <w:numPr>
          <w:ilvl w:val="0"/>
          <w:numId w:val="85"/>
        </w:numPr>
        <w:spacing w:line="360" w:lineRule="auto"/>
        <w:ind w:left="-284"/>
      </w:pPr>
      <w:r w:rsidRPr="004567BF">
        <w:t>De s’assurer que le site reste compatible avec son environnement compte tenu des mesures prises par l’exploitant et des mesures prises par les pouvoirs publics sur la base de l’EDD ;</w:t>
      </w:r>
    </w:p>
    <w:p w14:paraId="52EC21AE" w14:textId="77777777" w:rsidR="00072995" w:rsidRPr="004567BF" w:rsidRDefault="00072995" w:rsidP="006E3ED0">
      <w:pPr>
        <w:pStyle w:val="Paragraphedeliste"/>
        <w:numPr>
          <w:ilvl w:val="0"/>
          <w:numId w:val="85"/>
        </w:numPr>
        <w:spacing w:line="360" w:lineRule="auto"/>
        <w:ind w:left="-284"/>
      </w:pPr>
      <w:r w:rsidRPr="004567BF">
        <w:t>D’identifier les améliorations possibles dans la maîtrise des risques technologiques.</w:t>
      </w:r>
    </w:p>
    <w:bookmarkEnd w:id="9"/>
    <w:p w14:paraId="47D4EDCC" w14:textId="14904951" w:rsidR="00072995" w:rsidRPr="004567BF" w:rsidRDefault="00072995" w:rsidP="00072995">
      <w:pPr>
        <w:ind w:left="-1134"/>
        <w:jc w:val="both"/>
        <w:rPr>
          <w:lang w:eastAsia="fr-FR"/>
        </w:rPr>
      </w:pPr>
      <w:r w:rsidRPr="004567BF">
        <w:rPr>
          <w:lang w:eastAsia="fr-FR"/>
        </w:rPr>
        <w:t>Le titulaire accompagne le GPM-Guyane dans la conduite de ce réexamen, en apportant son expertise technique, méthodologique et réglementaire, et en garantissant la conformité des livrables aux exigences applicables et aux attentes du service instructeur.</w:t>
      </w:r>
    </w:p>
    <w:bookmarkEnd w:id="10"/>
    <w:p w14:paraId="122A1FA4" w14:textId="057F9735" w:rsidR="00CE6783" w:rsidRDefault="002C6C58" w:rsidP="00CE6783">
      <w:pPr>
        <w:spacing w:before="240"/>
        <w:ind w:left="-1134"/>
      </w:pPr>
      <w:r w:rsidRPr="00BD48F4">
        <w:t>La description des prestations figure au C.C.T.P.</w:t>
      </w:r>
    </w:p>
    <w:p w14:paraId="2CD63FC1" w14:textId="2E24B103" w:rsidR="00C53F46" w:rsidRPr="00C53F46" w:rsidRDefault="004523D4" w:rsidP="00C53F46">
      <w:pPr>
        <w:pStyle w:val="Titre2"/>
      </w:pPr>
      <w:bookmarkStart w:id="11" w:name="_Toc465243675"/>
      <w:bookmarkStart w:id="12" w:name="_Toc193806275"/>
      <w:bookmarkStart w:id="13" w:name="_Toc198037071"/>
      <w:bookmarkStart w:id="14" w:name="_Toc198637870"/>
      <w:r w:rsidRPr="004523D4">
        <w:t>Forme du march</w:t>
      </w:r>
      <w:bookmarkEnd w:id="11"/>
      <w:r w:rsidRPr="004523D4">
        <w:t>é</w:t>
      </w:r>
      <w:bookmarkEnd w:id="12"/>
      <w:bookmarkEnd w:id="13"/>
      <w:bookmarkEnd w:id="14"/>
      <w:r w:rsidRPr="004523D4">
        <w:tab/>
      </w:r>
    </w:p>
    <w:p w14:paraId="6CE77580" w14:textId="77777777" w:rsidR="00E94376" w:rsidRDefault="00E94376" w:rsidP="00E94376">
      <w:pPr>
        <w:ind w:left="-1134"/>
        <w:jc w:val="both"/>
        <w:rPr>
          <w:lang w:val="fr-BE" w:eastAsia="fr-FR"/>
        </w:rPr>
      </w:pPr>
      <w:bookmarkStart w:id="15" w:name="_Hlk198733205"/>
      <w:r w:rsidRPr="00E94376">
        <w:rPr>
          <w:lang w:val="fr-BE" w:eastAsia="fr-FR"/>
        </w:rPr>
        <w:t>Le présent marché n’est pas un accord-cadre.</w:t>
      </w:r>
    </w:p>
    <w:p w14:paraId="16A1E476" w14:textId="4A9262DC" w:rsidR="00E94376" w:rsidRPr="00E94376" w:rsidRDefault="00E94376" w:rsidP="00E94376">
      <w:pPr>
        <w:spacing w:before="240"/>
        <w:ind w:left="-1134"/>
        <w:jc w:val="both"/>
        <w:rPr>
          <w:lang w:val="fr-BE" w:eastAsia="fr-FR"/>
        </w:rPr>
      </w:pPr>
      <w:r w:rsidRPr="00E94376">
        <w:rPr>
          <w:lang w:val="fr-BE" w:eastAsia="fr-FR"/>
        </w:rPr>
        <w:t>Il s’agit d’un marché public ordinaire à prix forfaitaire, passé selon une procédure adaptée, conformément aux articles L.2123-1 et R.2123-1 du Code de la commande publique.</w:t>
      </w:r>
      <w:r w:rsidRPr="00E94376">
        <w:rPr>
          <w:lang w:val="fr-BE" w:eastAsia="fr-FR"/>
        </w:rPr>
        <w:br/>
        <w:t>La prestation est structurée en deux phases distinctes :</w:t>
      </w:r>
    </w:p>
    <w:p w14:paraId="5BC63D9C" w14:textId="77777777" w:rsidR="00E94376" w:rsidRPr="00E94376" w:rsidRDefault="00E94376" w:rsidP="00E94376">
      <w:pPr>
        <w:numPr>
          <w:ilvl w:val="0"/>
          <w:numId w:val="87"/>
        </w:numPr>
        <w:tabs>
          <w:tab w:val="clear" w:pos="720"/>
        </w:tabs>
        <w:ind w:left="0" w:hanging="426"/>
        <w:jc w:val="both"/>
        <w:rPr>
          <w:lang w:val="fr-BE" w:eastAsia="fr-FR"/>
        </w:rPr>
      </w:pPr>
      <w:r w:rsidRPr="00E94376">
        <w:rPr>
          <w:b/>
          <w:bCs/>
          <w:lang w:val="fr-BE" w:eastAsia="fr-FR"/>
        </w:rPr>
        <w:t>Phase 1 :</w:t>
      </w:r>
      <w:r w:rsidRPr="00E94376">
        <w:rPr>
          <w:lang w:val="fr-BE" w:eastAsia="fr-FR"/>
        </w:rPr>
        <w:t xml:space="preserve"> Réalisation d’un bilan technique et réglementaire relatif aux installations portuaires ;</w:t>
      </w:r>
    </w:p>
    <w:p w14:paraId="0A6B4907" w14:textId="658AEE85" w:rsidR="00E94376" w:rsidRPr="00E94376" w:rsidRDefault="00E94376" w:rsidP="00E94376">
      <w:pPr>
        <w:numPr>
          <w:ilvl w:val="0"/>
          <w:numId w:val="87"/>
        </w:numPr>
        <w:tabs>
          <w:tab w:val="clear" w:pos="720"/>
        </w:tabs>
        <w:ind w:left="0" w:hanging="426"/>
        <w:jc w:val="both"/>
        <w:rPr>
          <w:lang w:val="fr-BE" w:eastAsia="fr-FR"/>
        </w:rPr>
      </w:pPr>
      <w:r w:rsidRPr="00E94376">
        <w:rPr>
          <w:b/>
          <w:bCs/>
          <w:lang w:val="fr-BE" w:eastAsia="fr-FR"/>
        </w:rPr>
        <w:t>Phase 2 :</w:t>
      </w:r>
      <w:r w:rsidRPr="00E94376">
        <w:rPr>
          <w:lang w:val="fr-BE" w:eastAsia="fr-FR"/>
        </w:rPr>
        <w:t xml:space="preserve"> Élaboration de la notice de réexamen quinquennal de l’étude de dangers.</w:t>
      </w:r>
    </w:p>
    <w:p w14:paraId="78B2CC8C" w14:textId="5183E27B" w:rsidR="000C358F" w:rsidRDefault="000C358F" w:rsidP="009D7405">
      <w:pPr>
        <w:pStyle w:val="Titre2"/>
      </w:pPr>
      <w:bookmarkStart w:id="16" w:name="_Toc146825031"/>
      <w:bookmarkStart w:id="17" w:name="_Toc198637871"/>
      <w:bookmarkEnd w:id="15"/>
      <w:r w:rsidRPr="000C358F">
        <w:t>Montant maximum</w:t>
      </w:r>
      <w:bookmarkEnd w:id="16"/>
      <w:bookmarkEnd w:id="17"/>
    </w:p>
    <w:p w14:paraId="124F1DF8" w14:textId="77777777" w:rsidR="00BF7B0C" w:rsidRDefault="00344C15" w:rsidP="00BF7B0C">
      <w:pPr>
        <w:ind w:left="-1134"/>
      </w:pPr>
      <w:bookmarkStart w:id="18" w:name="_Hlk198733281"/>
      <w:r w:rsidRPr="00344C15">
        <w:rPr>
          <w:lang w:val="fr-BE"/>
        </w:rPr>
        <w:t xml:space="preserve">Le </w:t>
      </w:r>
      <w:r w:rsidRPr="00BF7B0C">
        <w:rPr>
          <w:lang w:val="fr-BE"/>
        </w:rPr>
        <w:t>présent marché est conclu sans montant minimum.</w:t>
      </w:r>
    </w:p>
    <w:p w14:paraId="3C70F1F5" w14:textId="46B7C00A" w:rsidR="00BF7B0C" w:rsidRPr="00344C15" w:rsidRDefault="00BF7B0C" w:rsidP="00BF7B0C">
      <w:pPr>
        <w:ind w:left="-1134"/>
        <w:rPr>
          <w:lang w:val="fr-BE"/>
        </w:rPr>
      </w:pPr>
      <w:r w:rsidRPr="00BF7B0C">
        <w:t>Le montant maximum, toutes périodes confondues, est fixé à 200 000 € TTC. La durée totale du marché est de trois mois, couvrant l’ensemble des deux phases de la mission.</w:t>
      </w:r>
    </w:p>
    <w:p w14:paraId="195F063A" w14:textId="24E5743E" w:rsidR="00181BF8" w:rsidRDefault="000C358F" w:rsidP="009D7405">
      <w:pPr>
        <w:pStyle w:val="Titre2"/>
      </w:pPr>
      <w:bookmarkStart w:id="19" w:name="_Toc146825032"/>
      <w:bookmarkStart w:id="20" w:name="_Toc198637872"/>
      <w:bookmarkEnd w:id="18"/>
      <w:r w:rsidRPr="000C358F">
        <w:t>Durée</w:t>
      </w:r>
      <w:bookmarkEnd w:id="19"/>
      <w:bookmarkEnd w:id="20"/>
    </w:p>
    <w:p w14:paraId="5E3C889F" w14:textId="77777777" w:rsidR="00344C15" w:rsidRDefault="00344C15" w:rsidP="00344C15">
      <w:pPr>
        <w:ind w:left="-1134"/>
        <w:jc w:val="both"/>
        <w:rPr>
          <w:lang w:eastAsia="fr-FR"/>
        </w:rPr>
      </w:pPr>
      <w:bookmarkStart w:id="21" w:name="_Hlk198733428"/>
      <w:r w:rsidRPr="00344C15">
        <w:rPr>
          <w:lang w:eastAsia="fr-FR"/>
        </w:rPr>
        <w:t>La mission débute à compter de la notification du bon de commande au titulaire.</w:t>
      </w:r>
    </w:p>
    <w:p w14:paraId="0545426F" w14:textId="608B6207" w:rsidR="00CE6783" w:rsidRPr="00344C15" w:rsidRDefault="00344C15" w:rsidP="00344C15">
      <w:pPr>
        <w:ind w:left="-1134"/>
        <w:jc w:val="both"/>
        <w:rPr>
          <w:lang w:eastAsia="fr-FR"/>
        </w:rPr>
      </w:pPr>
      <w:r w:rsidRPr="00344C15">
        <w:rPr>
          <w:lang w:eastAsia="fr-FR"/>
        </w:rPr>
        <w:t>Le marché est conclu pour une durée ferme de 3 mois, correspondant à l’exécution des deux phases mentionnées.</w:t>
      </w:r>
    </w:p>
    <w:p w14:paraId="65D7FC0E" w14:textId="4E2F03F1" w:rsidR="000C358F" w:rsidRPr="000C358F" w:rsidRDefault="000C358F" w:rsidP="009D7405">
      <w:pPr>
        <w:pStyle w:val="Titre2"/>
      </w:pPr>
      <w:bookmarkStart w:id="22" w:name="_Toc198637873"/>
      <w:bookmarkEnd w:id="21"/>
      <w:r w:rsidRPr="000C358F">
        <w:t>Renouvellement</w:t>
      </w:r>
      <w:bookmarkEnd w:id="22"/>
      <w:r w:rsidRPr="000C358F">
        <w:t xml:space="preserve"> </w:t>
      </w:r>
    </w:p>
    <w:p w14:paraId="77A2BAD5" w14:textId="3A3A7154" w:rsidR="00181BF8" w:rsidRDefault="00181BF8" w:rsidP="00CB6B4F">
      <w:pPr>
        <w:ind w:left="-1134"/>
        <w:jc w:val="both"/>
      </w:pPr>
      <w:r w:rsidRPr="00181BF8">
        <w:lastRenderedPageBreak/>
        <w:t xml:space="preserve">Le marché est </w:t>
      </w:r>
      <w:r w:rsidR="00344C15">
        <w:t xml:space="preserve">non </w:t>
      </w:r>
      <w:r w:rsidRPr="00181BF8">
        <w:t>reconductible</w:t>
      </w:r>
      <w:r w:rsidR="00344C15">
        <w:t xml:space="preserve">. </w:t>
      </w:r>
    </w:p>
    <w:p w14:paraId="46D70E04" w14:textId="7EA6D334" w:rsidR="00DD701C" w:rsidRPr="00DD701C" w:rsidRDefault="00DD701C" w:rsidP="00394727">
      <w:pPr>
        <w:pStyle w:val="Titre1"/>
      </w:pPr>
      <w:bookmarkStart w:id="23" w:name="_Toc161406922"/>
      <w:bookmarkStart w:id="24" w:name="_Toc198637874"/>
      <w:r w:rsidRPr="00BD48F4">
        <w:t>PIECES CONSTITUTIVES DU MARCHE</w:t>
      </w:r>
      <w:bookmarkEnd w:id="23"/>
      <w:bookmarkEnd w:id="24"/>
      <w:r w:rsidRPr="00BD48F4">
        <w:t xml:space="preserve"> </w:t>
      </w:r>
    </w:p>
    <w:p w14:paraId="6928EBC1" w14:textId="77777777" w:rsidR="00DD701C" w:rsidRPr="00BD48F4" w:rsidRDefault="00DD701C" w:rsidP="00DD701C">
      <w:pPr>
        <w:ind w:left="-1134"/>
        <w:jc w:val="both"/>
      </w:pPr>
      <w:r w:rsidRPr="00BD48F4">
        <w:t xml:space="preserve">Le présent marché est régi par les documents contractuels ci-après cités dans l’ordre de priorité décroissant suivant : </w:t>
      </w:r>
    </w:p>
    <w:p w14:paraId="1BFA23E3" w14:textId="1EC053C5" w:rsidR="00E14BE0" w:rsidRPr="00E14BE0" w:rsidRDefault="00DD701C" w:rsidP="009D7405">
      <w:pPr>
        <w:pStyle w:val="Titre2"/>
      </w:pPr>
      <w:bookmarkStart w:id="25" w:name="_Toc161406923"/>
      <w:bookmarkStart w:id="26" w:name="_Toc198637875"/>
      <w:r w:rsidRPr="00DD701C">
        <w:t>Les Pièces particulières</w:t>
      </w:r>
      <w:bookmarkEnd w:id="25"/>
      <w:bookmarkEnd w:id="26"/>
    </w:p>
    <w:p w14:paraId="4B941B3D" w14:textId="08BDB41B" w:rsidR="00DD701C" w:rsidRDefault="00DD701C" w:rsidP="009A073E">
      <w:pPr>
        <w:pStyle w:val="Paragraphedeliste"/>
        <w:ind w:left="-284"/>
      </w:pPr>
      <w:r w:rsidRPr="00994776">
        <w:t>Pièce N°1 : L'acte d'engagement « AE</w:t>
      </w:r>
      <w:r>
        <w:t xml:space="preserve"> </w:t>
      </w:r>
      <w:r w:rsidR="004366E2" w:rsidRPr="004366E2">
        <w:rPr>
          <w:b/>
          <w:i/>
          <w:iCs/>
          <w:smallCaps/>
        </w:rPr>
        <w:t xml:space="preserve">GPM-G DPD 25 20 EDD RX </w:t>
      </w:r>
      <w:proofErr w:type="gramStart"/>
      <w:r w:rsidR="004366E2" w:rsidRPr="004366E2">
        <w:rPr>
          <w:b/>
          <w:i/>
          <w:iCs/>
          <w:smallCaps/>
        </w:rPr>
        <w:t>VFO</w:t>
      </w:r>
      <w:r w:rsidRPr="002A25F1">
        <w:t>»</w:t>
      </w:r>
      <w:proofErr w:type="gramEnd"/>
      <w:r w:rsidRPr="002A25F1">
        <w:t xml:space="preserve"> et toutes les annexes :</w:t>
      </w:r>
    </w:p>
    <w:p w14:paraId="1BE7B4EE" w14:textId="77777777" w:rsidR="00E33558" w:rsidRPr="002A25F1" w:rsidRDefault="00E33558" w:rsidP="00E33558">
      <w:pPr>
        <w:pStyle w:val="Paragraphedeliste"/>
        <w:numPr>
          <w:ilvl w:val="0"/>
          <w:numId w:val="0"/>
        </w:numPr>
        <w:ind w:left="-284"/>
      </w:pPr>
    </w:p>
    <w:p w14:paraId="0BE5C416" w14:textId="7E044BC1" w:rsidR="00DD701C" w:rsidRPr="004657BA" w:rsidRDefault="00DD701C" w:rsidP="00DD701C">
      <w:pPr>
        <w:pStyle w:val="Paragraphedeliste"/>
        <w:numPr>
          <w:ilvl w:val="1"/>
          <w:numId w:val="7"/>
        </w:numPr>
        <w:spacing w:after="108" w:line="248" w:lineRule="auto"/>
      </w:pPr>
      <w:r w:rsidRPr="004657BA">
        <w:t xml:space="preserve">Annexe </w:t>
      </w:r>
      <w:r w:rsidR="00D7666F" w:rsidRPr="004657BA">
        <w:t>conformité</w:t>
      </w:r>
      <w:r w:rsidRPr="004657BA">
        <w:t xml:space="preserve"> : bordereau des différences de valeur à la charge du </w:t>
      </w:r>
      <w:r w:rsidR="00433D73" w:rsidRPr="00433D73">
        <w:t>GPM-Guyane</w:t>
      </w:r>
      <w:r w:rsidR="009B355E" w:rsidRPr="004657BA">
        <w:t> ;</w:t>
      </w:r>
    </w:p>
    <w:p w14:paraId="08A03A11" w14:textId="12B307BB" w:rsidR="00DD701C" w:rsidRPr="004657BA" w:rsidRDefault="00DD701C" w:rsidP="00344C15">
      <w:pPr>
        <w:pStyle w:val="Paragraphedeliste"/>
        <w:numPr>
          <w:ilvl w:val="1"/>
          <w:numId w:val="7"/>
        </w:numPr>
        <w:spacing w:before="240" w:after="108" w:line="248" w:lineRule="auto"/>
      </w:pPr>
      <w:r w:rsidRPr="004657BA">
        <w:t xml:space="preserve">Annexe </w:t>
      </w:r>
      <w:r w:rsidR="00D7666F" w:rsidRPr="004657BA">
        <w:t>prix</w:t>
      </w:r>
      <w:r w:rsidRPr="004657BA">
        <w:t xml:space="preserve"> : </w:t>
      </w:r>
      <w:r w:rsidR="00874DF7">
        <w:t>Bordereau des prix « </w:t>
      </w:r>
      <w:r w:rsidR="00344C15" w:rsidRPr="00994B43">
        <w:t>Décomposition du Prix Global et Forfaitaire</w:t>
      </w:r>
      <w:r w:rsidR="00344C15">
        <w:t xml:space="preserve"> DPGF</w:t>
      </w:r>
      <w:r w:rsidR="00874DF7">
        <w:t> » ;</w:t>
      </w:r>
    </w:p>
    <w:p w14:paraId="5184BE00" w14:textId="77777777" w:rsidR="00772C55" w:rsidRDefault="00DD701C" w:rsidP="00772C55">
      <w:pPr>
        <w:pStyle w:val="Paragraphedeliste"/>
        <w:numPr>
          <w:ilvl w:val="1"/>
          <w:numId w:val="7"/>
        </w:numPr>
        <w:spacing w:after="108" w:line="248" w:lineRule="auto"/>
      </w:pPr>
      <w:r w:rsidRPr="004657BA">
        <w:t xml:space="preserve">Annexe </w:t>
      </w:r>
      <w:r w:rsidR="00D7666F" w:rsidRPr="004657BA">
        <w:t xml:space="preserve">valeur </w:t>
      </w:r>
      <w:r w:rsidR="00191A59" w:rsidRPr="004657BA">
        <w:t>technique :</w:t>
      </w:r>
      <w:r w:rsidRPr="004657BA">
        <w:t xml:space="preserve"> Bordereau de réponse au critère « Valeurs techniques de l’offre »</w:t>
      </w:r>
      <w:r w:rsidR="009B355E" w:rsidRPr="004657BA">
        <w:t> ;</w:t>
      </w:r>
    </w:p>
    <w:p w14:paraId="52B2C407" w14:textId="0D4692BE" w:rsidR="00772C55" w:rsidRPr="00952B41" w:rsidRDefault="00772C55" w:rsidP="00E255E4">
      <w:pPr>
        <w:pStyle w:val="Paragraphedeliste"/>
        <w:numPr>
          <w:ilvl w:val="1"/>
          <w:numId w:val="7"/>
        </w:numPr>
        <w:spacing w:after="108" w:line="248" w:lineRule="auto"/>
      </w:pPr>
      <w:r w:rsidRPr="00952B41">
        <w:t>Annexe aspects RSE du projet : Bordereau de réponse au critère « Aspects RSE »</w:t>
      </w:r>
    </w:p>
    <w:p w14:paraId="2652FC07" w14:textId="17BD9479" w:rsidR="00DD701C" w:rsidRPr="004657BA" w:rsidRDefault="00DD701C" w:rsidP="00DD701C">
      <w:pPr>
        <w:pStyle w:val="Titre"/>
        <w:numPr>
          <w:ilvl w:val="1"/>
          <w:numId w:val="7"/>
        </w:numPr>
        <w:rPr>
          <w:rFonts w:ascii="Arial" w:eastAsia="Garamond" w:hAnsi="Arial" w:cs="Arial"/>
          <w:spacing w:val="0"/>
          <w:kern w:val="0"/>
          <w:sz w:val="20"/>
          <w:szCs w:val="18"/>
          <w:lang w:eastAsia="fr-FR"/>
        </w:rPr>
      </w:pPr>
      <w:r w:rsidRPr="004657BA">
        <w:rPr>
          <w:rFonts w:ascii="Arial" w:eastAsia="Garamond" w:hAnsi="Arial" w:cs="Arial"/>
          <w:spacing w:val="0"/>
          <w:kern w:val="0"/>
          <w:sz w:val="20"/>
          <w:szCs w:val="18"/>
          <w:lang w:eastAsia="fr-FR"/>
        </w:rPr>
        <w:t xml:space="preserve">Annexe </w:t>
      </w:r>
      <w:r w:rsidR="00D7666F" w:rsidRPr="004657BA">
        <w:rPr>
          <w:rFonts w:ascii="Arial" w:eastAsia="Garamond" w:hAnsi="Arial" w:cs="Arial"/>
          <w:spacing w:val="0"/>
          <w:kern w:val="0"/>
          <w:sz w:val="20"/>
          <w:szCs w:val="18"/>
          <w:lang w:eastAsia="fr-FR"/>
        </w:rPr>
        <w:t>MT</w:t>
      </w:r>
      <w:r w:rsidRPr="004657BA">
        <w:rPr>
          <w:rFonts w:ascii="Arial" w:eastAsia="Garamond" w:hAnsi="Arial" w:cs="Arial"/>
          <w:spacing w:val="0"/>
          <w:kern w:val="0"/>
          <w:sz w:val="20"/>
          <w:szCs w:val="18"/>
          <w:lang w:eastAsia="fr-FR"/>
        </w:rPr>
        <w:t> : Mémoire Technique</w:t>
      </w:r>
      <w:r w:rsidR="009B355E" w:rsidRPr="004657BA">
        <w:rPr>
          <w:rFonts w:ascii="Arial" w:eastAsia="Garamond" w:hAnsi="Arial" w:cs="Arial"/>
          <w:spacing w:val="0"/>
          <w:kern w:val="0"/>
          <w:sz w:val="20"/>
          <w:szCs w:val="18"/>
          <w:lang w:eastAsia="fr-FR"/>
        </w:rPr>
        <w:t>.</w:t>
      </w:r>
    </w:p>
    <w:p w14:paraId="78A3C234" w14:textId="589B6FAF" w:rsidR="00DD701C" w:rsidRDefault="00DD701C" w:rsidP="009A073E">
      <w:pPr>
        <w:pStyle w:val="Paragraphedeliste"/>
        <w:numPr>
          <w:ilvl w:val="0"/>
          <w:numId w:val="0"/>
        </w:numPr>
        <w:spacing w:after="108" w:line="248" w:lineRule="auto"/>
      </w:pPr>
    </w:p>
    <w:p w14:paraId="1475E4A0" w14:textId="7162FB4F" w:rsidR="00344C15" w:rsidRDefault="00DD701C" w:rsidP="00344C15">
      <w:pPr>
        <w:pStyle w:val="Paragraphedeliste"/>
        <w:spacing w:before="240"/>
        <w:ind w:left="-284"/>
      </w:pPr>
      <w:r w:rsidRPr="002A25F1">
        <w:t>Pièce N°2 : Le présent</w:t>
      </w:r>
      <w:r w:rsidR="002E22B3" w:rsidRPr="002A25F1">
        <w:t xml:space="preserve"> cahier des clauses techniques</w:t>
      </w:r>
      <w:r w:rsidR="002E22B3">
        <w:t xml:space="preserve"> administratives</w:t>
      </w:r>
      <w:r w:rsidR="002E22B3" w:rsidRPr="002A25F1">
        <w:t xml:space="preserve"> particulières </w:t>
      </w:r>
      <w:r w:rsidR="002E22B3">
        <w:t xml:space="preserve">(CCAP </w:t>
      </w:r>
      <w:r w:rsidR="004366E2" w:rsidRPr="004366E2">
        <w:rPr>
          <w:b/>
          <w:i/>
          <w:iCs/>
          <w:smallCaps/>
        </w:rPr>
        <w:t>GPM-G DPD 25 20 EDD RX VFO</w:t>
      </w:r>
      <w:r w:rsidR="002E22B3" w:rsidRPr="002A25F1">
        <w:t>)</w:t>
      </w:r>
      <w:r w:rsidR="009B355E">
        <w:t>.</w:t>
      </w:r>
    </w:p>
    <w:p w14:paraId="1DD81054" w14:textId="77777777" w:rsidR="00344C15" w:rsidRDefault="00344C15" w:rsidP="00344C15">
      <w:pPr>
        <w:pStyle w:val="Paragraphedeliste"/>
        <w:numPr>
          <w:ilvl w:val="0"/>
          <w:numId w:val="0"/>
        </w:numPr>
        <w:spacing w:before="240"/>
        <w:ind w:left="-284"/>
      </w:pPr>
    </w:p>
    <w:p w14:paraId="5AAAE8F4" w14:textId="41515C9F" w:rsidR="00E33558" w:rsidRDefault="00DD701C" w:rsidP="00344C15">
      <w:pPr>
        <w:pStyle w:val="Paragraphedeliste"/>
        <w:spacing w:before="240"/>
        <w:ind w:left="-284"/>
      </w:pPr>
      <w:r w:rsidRPr="002A25F1">
        <w:t>Pièce N°3 : Le cahier des clauses techniques particulières (CCTP</w:t>
      </w:r>
      <w:r w:rsidRPr="006C2D61">
        <w:t xml:space="preserve"> </w:t>
      </w:r>
      <w:r w:rsidR="004366E2" w:rsidRPr="004366E2">
        <w:rPr>
          <w:b/>
          <w:i/>
          <w:iCs/>
          <w:smallCaps/>
        </w:rPr>
        <w:t>GPM-G DPD 25 20 EDD RX VFO</w:t>
      </w:r>
      <w:r w:rsidRPr="002A25F1">
        <w:t>)</w:t>
      </w:r>
      <w:r w:rsidR="009B355E">
        <w:t>.</w:t>
      </w:r>
    </w:p>
    <w:p w14:paraId="3475E075" w14:textId="77777777" w:rsidR="00E33558" w:rsidRDefault="00E33558" w:rsidP="009D7405">
      <w:pPr>
        <w:pStyle w:val="Paragraphedeliste"/>
        <w:numPr>
          <w:ilvl w:val="0"/>
          <w:numId w:val="0"/>
        </w:numPr>
        <w:spacing w:after="108" w:line="248" w:lineRule="auto"/>
        <w:ind w:left="-284"/>
      </w:pPr>
    </w:p>
    <w:p w14:paraId="01FB3160" w14:textId="5E01022F" w:rsidR="00E33558" w:rsidRDefault="00E33558" w:rsidP="009D7405">
      <w:pPr>
        <w:pStyle w:val="Paragraphedeliste"/>
        <w:spacing w:after="108" w:line="248" w:lineRule="auto"/>
        <w:ind w:left="-284"/>
      </w:pPr>
      <w:r w:rsidRPr="00E33558">
        <w:t xml:space="preserve">Pièce N°4 : </w:t>
      </w:r>
      <w:r>
        <w:t xml:space="preserve">L’annexe au dossier de candidature </w:t>
      </w:r>
      <w:r w:rsidR="00E52AA3">
        <w:t>(</w:t>
      </w:r>
      <w:r w:rsidR="00C83A6C">
        <w:t>ADC</w:t>
      </w:r>
      <w:r w:rsidR="00E52AA3">
        <w:t xml:space="preserve"> </w:t>
      </w:r>
      <w:r w:rsidR="004366E2" w:rsidRPr="004366E2">
        <w:rPr>
          <w:b/>
          <w:i/>
          <w:iCs/>
          <w:smallCaps/>
        </w:rPr>
        <w:t>GPM-G DPD 25 20 EDD RX VFO</w:t>
      </w:r>
      <w:r w:rsidR="00E52AA3">
        <w:t>)</w:t>
      </w:r>
      <w:r w:rsidR="009B355E">
        <w:t>.</w:t>
      </w:r>
    </w:p>
    <w:p w14:paraId="59C39C8E" w14:textId="1CA1DF28" w:rsidR="00DD701C" w:rsidRPr="00BD48F4" w:rsidRDefault="00DD701C" w:rsidP="00E2750B">
      <w:pPr>
        <w:pStyle w:val="Paragraphedeliste"/>
        <w:numPr>
          <w:ilvl w:val="0"/>
          <w:numId w:val="0"/>
        </w:numPr>
        <w:spacing w:after="108" w:line="248" w:lineRule="auto"/>
        <w:ind w:left="720"/>
      </w:pPr>
    </w:p>
    <w:p w14:paraId="4E7E6B22" w14:textId="22137D25" w:rsidR="00DD701C" w:rsidRPr="00DD701C" w:rsidRDefault="00DD701C" w:rsidP="00DD701C">
      <w:pPr>
        <w:pStyle w:val="Titre2"/>
      </w:pPr>
      <w:bookmarkStart w:id="27" w:name="_Toc161406924"/>
      <w:bookmarkStart w:id="28" w:name="_Toc198637876"/>
      <w:r w:rsidRPr="00BD48F4">
        <w:t xml:space="preserve">Les </w:t>
      </w:r>
      <w:r>
        <w:t>p</w:t>
      </w:r>
      <w:r w:rsidRPr="00BD48F4">
        <w:t>ièces générales (</w:t>
      </w:r>
      <w:r w:rsidR="00F65780">
        <w:t>*</w:t>
      </w:r>
      <w:r w:rsidRPr="00BD48F4">
        <w:t>)</w:t>
      </w:r>
      <w:bookmarkEnd w:id="27"/>
      <w:bookmarkEnd w:id="28"/>
    </w:p>
    <w:p w14:paraId="52DF611A" w14:textId="3F8E6325" w:rsidR="00DD701C" w:rsidRDefault="00DD701C" w:rsidP="009D7405">
      <w:pPr>
        <w:pStyle w:val="Paragraphedeliste"/>
        <w:spacing w:after="108" w:line="248" w:lineRule="auto"/>
        <w:ind w:left="-284"/>
      </w:pPr>
      <w:r w:rsidRPr="00BD48F4">
        <w:t xml:space="preserve">Pièce N°5 : Le code </w:t>
      </w:r>
      <w:r w:rsidR="00EC0D6E">
        <w:t>de la commande publique</w:t>
      </w:r>
    </w:p>
    <w:p w14:paraId="3AF308D0" w14:textId="77777777" w:rsidR="00DD701C" w:rsidRPr="00BD48F4" w:rsidRDefault="00DD701C" w:rsidP="009D7405">
      <w:pPr>
        <w:pStyle w:val="Paragraphedeliste"/>
        <w:numPr>
          <w:ilvl w:val="0"/>
          <w:numId w:val="0"/>
        </w:numPr>
        <w:spacing w:after="108" w:line="248" w:lineRule="auto"/>
        <w:ind w:left="-284"/>
      </w:pPr>
    </w:p>
    <w:p w14:paraId="5E9D001B" w14:textId="6F2E365D" w:rsidR="00DD701C" w:rsidRPr="00BD48F4" w:rsidRDefault="00DD701C" w:rsidP="009D7405">
      <w:pPr>
        <w:pStyle w:val="Paragraphedeliste"/>
        <w:spacing w:after="108" w:line="248" w:lineRule="auto"/>
        <w:ind w:left="-284"/>
      </w:pPr>
      <w:r w:rsidRPr="00BD48F4">
        <w:t xml:space="preserve">Pièce N°6 : Le cahier des clauses administratives générales </w:t>
      </w:r>
      <w:r>
        <w:t>e</w:t>
      </w:r>
      <w:r w:rsidRPr="00BD48F4">
        <w:t>t dit CCAG/</w:t>
      </w:r>
      <w:r>
        <w:t>PI</w:t>
      </w:r>
      <w:r w:rsidR="009B355E">
        <w:t>.</w:t>
      </w:r>
      <w:r w:rsidRPr="00BD48F4">
        <w:t xml:space="preserve"> </w:t>
      </w:r>
      <w:r>
        <w:t>(</w:t>
      </w:r>
      <w:r w:rsidR="00F65780">
        <w:t>*</w:t>
      </w:r>
      <w:r>
        <w:t>)</w:t>
      </w:r>
    </w:p>
    <w:p w14:paraId="4819E798" w14:textId="21F30A41" w:rsidR="00DD701C" w:rsidRPr="00BD48F4" w:rsidRDefault="00DD701C" w:rsidP="00DD701C">
      <w:r w:rsidRPr="00BD48F4">
        <w:t>(</w:t>
      </w:r>
      <w:r w:rsidR="00F65780">
        <w:t>*</w:t>
      </w:r>
      <w:r w:rsidRPr="00BD48F4">
        <w:t>) Documents non joints dont le titulaire déclare avoir pris connaissance</w:t>
      </w:r>
      <w:r w:rsidR="009B355E">
        <w:t>.</w:t>
      </w:r>
    </w:p>
    <w:p w14:paraId="24D69F9E" w14:textId="77777777" w:rsidR="00DD701C" w:rsidRPr="00BD48F4" w:rsidRDefault="00DD701C" w:rsidP="00DD701C">
      <w:r w:rsidRPr="00BD48F4">
        <w:t xml:space="preserve">Les documents applicables sont ceux en vigueur à la date de signature par le titulaire du présent marché. </w:t>
      </w:r>
    </w:p>
    <w:p w14:paraId="1C5B9692" w14:textId="5EE24C7C" w:rsidR="00DD701C" w:rsidRDefault="00DD701C" w:rsidP="009D7405">
      <w:r w:rsidRPr="00BD48F4">
        <w:t>Seuls les exemplaires conservés dans les locaux d</w:t>
      </w:r>
      <w:r w:rsidR="00F65780">
        <w:t xml:space="preserve">u </w:t>
      </w:r>
      <w:r w:rsidR="00433D73" w:rsidRPr="00433D73">
        <w:t>GPM-Guyane</w:t>
      </w:r>
      <w:r w:rsidR="00433D73">
        <w:t xml:space="preserve"> </w:t>
      </w:r>
      <w:r w:rsidRPr="00BD48F4">
        <w:t>font foi.</w:t>
      </w:r>
    </w:p>
    <w:p w14:paraId="31817D31" w14:textId="1AA9444C" w:rsidR="000C358F" w:rsidRPr="000C358F" w:rsidRDefault="000C358F" w:rsidP="00394727">
      <w:pPr>
        <w:pStyle w:val="Titre1"/>
      </w:pPr>
      <w:bookmarkStart w:id="29" w:name="_Toc161406941"/>
      <w:r>
        <w:t xml:space="preserve"> </w:t>
      </w:r>
      <w:bookmarkStart w:id="30" w:name="_Toc198637877"/>
      <w:r w:rsidRPr="00BD48F4">
        <w:t xml:space="preserve">PRIX </w:t>
      </w:r>
      <w:r w:rsidR="002D7ACA">
        <w:t>–</w:t>
      </w:r>
      <w:r w:rsidRPr="00BD48F4">
        <w:t xml:space="preserve"> </w:t>
      </w:r>
      <w:bookmarkEnd w:id="29"/>
      <w:r w:rsidR="002D7ACA">
        <w:t>REVISION DES PRIX</w:t>
      </w:r>
      <w:bookmarkEnd w:id="30"/>
    </w:p>
    <w:p w14:paraId="41C8E8F8" w14:textId="7524F0AC" w:rsidR="000C358F" w:rsidRPr="000C358F" w:rsidRDefault="000C358F" w:rsidP="000C358F">
      <w:pPr>
        <w:pStyle w:val="Titre2"/>
      </w:pPr>
      <w:bookmarkStart w:id="31" w:name="_Toc161406942"/>
      <w:bookmarkStart w:id="32" w:name="_Toc198637878"/>
      <w:r w:rsidRPr="000C358F">
        <w:t>Formes des prix</w:t>
      </w:r>
      <w:bookmarkEnd w:id="31"/>
      <w:bookmarkEnd w:id="32"/>
      <w:r w:rsidRPr="000C358F">
        <w:t xml:space="preserve"> </w:t>
      </w:r>
    </w:p>
    <w:p w14:paraId="5A43D7B7" w14:textId="77777777" w:rsidR="000C358F" w:rsidRPr="00BD48F4" w:rsidRDefault="000C358F" w:rsidP="002D7ACA">
      <w:pPr>
        <w:ind w:left="-1134"/>
        <w:jc w:val="both"/>
      </w:pPr>
      <w:r w:rsidRPr="00272836">
        <w:t>Cet article est négociable.</w:t>
      </w:r>
    </w:p>
    <w:p w14:paraId="4C0F873B" w14:textId="7F6F6FDC" w:rsidR="00002A66" w:rsidRPr="00002A66" w:rsidRDefault="00002A66" w:rsidP="00002A66">
      <w:pPr>
        <w:spacing w:before="240" w:after="0" w:line="240" w:lineRule="auto"/>
        <w:ind w:left="-1134"/>
        <w:jc w:val="both"/>
      </w:pPr>
      <w:bookmarkStart w:id="33" w:name="_Toc161406943"/>
      <w:r w:rsidRPr="00002A66">
        <w:t xml:space="preserve">Les prix sont fermes et non révisables pendant </w:t>
      </w:r>
      <w:r w:rsidR="00344C15">
        <w:t xml:space="preserve">toute </w:t>
      </w:r>
      <w:r w:rsidRPr="00002A66">
        <w:t>la durée du marché.</w:t>
      </w:r>
    </w:p>
    <w:p w14:paraId="3ABDEFF6" w14:textId="77777777" w:rsidR="00874DF7" w:rsidRDefault="00874DF7" w:rsidP="00874DF7">
      <w:pPr>
        <w:pStyle w:val="Titre2"/>
      </w:pPr>
      <w:bookmarkStart w:id="34" w:name="_Toc198637879"/>
      <w:bookmarkEnd w:id="33"/>
      <w:r w:rsidRPr="00874DF7">
        <w:t>Unités d’œuvre</w:t>
      </w:r>
      <w:bookmarkEnd w:id="34"/>
      <w:r w:rsidRPr="00874DF7">
        <w:t xml:space="preserve"> </w:t>
      </w:r>
    </w:p>
    <w:p w14:paraId="67ED8B07" w14:textId="77777777" w:rsidR="00874DF7" w:rsidRPr="00874DF7" w:rsidRDefault="00874DF7" w:rsidP="00874DF7">
      <w:pPr>
        <w:ind w:left="-1134"/>
        <w:jc w:val="both"/>
        <w:rPr>
          <w:lang w:val="fr-BE" w:eastAsia="fr-FR"/>
        </w:rPr>
      </w:pPr>
      <w:r w:rsidRPr="00874DF7">
        <w:rPr>
          <w:lang w:val="fr-BE" w:eastAsia="fr-FR"/>
        </w:rPr>
        <w:t>Le présent marché est traité à prix global et forfaitaire, couvrant l’ensemble des prestations décrites dans les documents contractuels, et notamment dans le CCTP.</w:t>
      </w:r>
    </w:p>
    <w:p w14:paraId="06444A0F" w14:textId="77777777" w:rsidR="00874DF7" w:rsidRPr="00874DF7" w:rsidRDefault="00874DF7" w:rsidP="00874DF7">
      <w:pPr>
        <w:ind w:left="-1134"/>
        <w:jc w:val="both"/>
        <w:rPr>
          <w:lang w:val="fr-BE" w:eastAsia="fr-FR"/>
        </w:rPr>
      </w:pPr>
      <w:r w:rsidRPr="00874DF7">
        <w:rPr>
          <w:lang w:val="fr-BE" w:eastAsia="fr-FR"/>
        </w:rPr>
        <w:lastRenderedPageBreak/>
        <w:t>Une unique unité d’œuvre (UO1) est définie, intégrant les deux phases successives de la mission.</w:t>
      </w:r>
    </w:p>
    <w:p w14:paraId="3A6CCCD7" w14:textId="77777777" w:rsidR="00874DF7" w:rsidRDefault="00874DF7" w:rsidP="00874DF7">
      <w:pPr>
        <w:ind w:left="-1134"/>
        <w:jc w:val="both"/>
        <w:rPr>
          <w:i/>
          <w:iCs/>
          <w:lang w:val="fr-BE" w:eastAsia="fr-FR"/>
        </w:rPr>
      </w:pPr>
      <w:r w:rsidRPr="00874DF7">
        <w:rPr>
          <w:i/>
          <w:iCs/>
          <w:lang w:val="fr-BE" w:eastAsia="fr-FR"/>
        </w:rPr>
        <w:t>UO1 – Réexamen quinquennal de l’Étude de Dangers (forfait global)</w:t>
      </w:r>
      <w:r>
        <w:rPr>
          <w:i/>
          <w:iCs/>
          <w:lang w:val="fr-BE" w:eastAsia="fr-FR"/>
        </w:rPr>
        <w:t xml:space="preserve"> : </w:t>
      </w:r>
      <w:r>
        <w:rPr>
          <w:lang w:val="fr-BE" w:eastAsia="fr-FR"/>
        </w:rPr>
        <w:t>c</w:t>
      </w:r>
      <w:r w:rsidRPr="00874DF7">
        <w:rPr>
          <w:lang w:val="fr-BE" w:eastAsia="fr-FR"/>
        </w:rPr>
        <w:t>ette unité d’œuvre regroupe l’ensemble des actions à réaliser pour la bonne exécution de la mission, selon les exigences réglementaires et techniques. Elle se décompose comme suit :</w:t>
      </w:r>
    </w:p>
    <w:p w14:paraId="20D79B25" w14:textId="427AC9BB" w:rsidR="00874DF7" w:rsidRPr="00874DF7" w:rsidRDefault="00874DF7" w:rsidP="00874DF7">
      <w:pPr>
        <w:pStyle w:val="Paragraphedeliste"/>
        <w:ind w:left="-567" w:hanging="284"/>
        <w:rPr>
          <w:lang w:val="fr-BE"/>
        </w:rPr>
      </w:pPr>
      <w:r w:rsidRPr="00874DF7">
        <w:rPr>
          <w:lang w:val="fr-BE"/>
        </w:rPr>
        <w:t>Phase 1 – Réalisation d’un bilan technique et réglementaire</w:t>
      </w:r>
      <w:r>
        <w:rPr>
          <w:lang w:val="fr-BE"/>
        </w:rPr>
        <w:t> :</w:t>
      </w:r>
    </w:p>
    <w:p w14:paraId="0A678D79" w14:textId="77777777" w:rsidR="00874DF7" w:rsidRPr="00874DF7" w:rsidRDefault="00874DF7" w:rsidP="00874DF7">
      <w:pPr>
        <w:ind w:left="-1134"/>
        <w:rPr>
          <w:lang w:val="fr-BE" w:eastAsia="fr-FR"/>
        </w:rPr>
      </w:pPr>
      <w:r w:rsidRPr="00874DF7">
        <w:rPr>
          <w:lang w:val="fr-BE" w:eastAsia="fr-FR"/>
        </w:rPr>
        <w:t>Cette phase comprend notamment :</w:t>
      </w:r>
    </w:p>
    <w:p w14:paraId="41AB02D2" w14:textId="77777777" w:rsidR="00874DF7" w:rsidRPr="00874DF7" w:rsidRDefault="00874DF7" w:rsidP="00874DF7">
      <w:pPr>
        <w:numPr>
          <w:ilvl w:val="0"/>
          <w:numId w:val="91"/>
        </w:numPr>
        <w:rPr>
          <w:lang w:val="fr-BE" w:eastAsia="fr-FR"/>
        </w:rPr>
      </w:pPr>
      <w:r w:rsidRPr="00874DF7">
        <w:rPr>
          <w:lang w:val="fr-BE" w:eastAsia="fr-FR"/>
        </w:rPr>
        <w:t>La prise de connaissance du site et l’analyse des documents existants ;</w:t>
      </w:r>
    </w:p>
    <w:p w14:paraId="5897FE0A" w14:textId="77777777" w:rsidR="00874DF7" w:rsidRPr="00874DF7" w:rsidRDefault="00874DF7" w:rsidP="00874DF7">
      <w:pPr>
        <w:numPr>
          <w:ilvl w:val="0"/>
          <w:numId w:val="91"/>
        </w:numPr>
        <w:rPr>
          <w:lang w:val="fr-BE" w:eastAsia="fr-FR"/>
        </w:rPr>
      </w:pPr>
      <w:r w:rsidRPr="00874DF7">
        <w:rPr>
          <w:lang w:val="fr-BE" w:eastAsia="fr-FR"/>
        </w:rPr>
        <w:t>L’étude des évolutions des installations, procédés, substances et technologies ;</w:t>
      </w:r>
    </w:p>
    <w:p w14:paraId="59F9B7F9" w14:textId="77777777" w:rsidR="00874DF7" w:rsidRPr="00874DF7" w:rsidRDefault="00874DF7" w:rsidP="00874DF7">
      <w:pPr>
        <w:numPr>
          <w:ilvl w:val="0"/>
          <w:numId w:val="91"/>
        </w:numPr>
        <w:rPr>
          <w:lang w:val="fr-BE" w:eastAsia="fr-FR"/>
        </w:rPr>
      </w:pPr>
      <w:r w:rsidRPr="00874DF7">
        <w:rPr>
          <w:lang w:val="fr-BE" w:eastAsia="fr-FR"/>
        </w:rPr>
        <w:t>L’intégration des évolutions réglementaires, normatives, scientifiques et des bonnes pratiques ;</w:t>
      </w:r>
    </w:p>
    <w:p w14:paraId="5C13AC57" w14:textId="77777777" w:rsidR="00874DF7" w:rsidRPr="00874DF7" w:rsidRDefault="00874DF7" w:rsidP="00874DF7">
      <w:pPr>
        <w:numPr>
          <w:ilvl w:val="0"/>
          <w:numId w:val="91"/>
        </w:numPr>
        <w:rPr>
          <w:lang w:val="fr-BE" w:eastAsia="fr-FR"/>
        </w:rPr>
      </w:pPr>
      <w:r w:rsidRPr="00874DF7">
        <w:rPr>
          <w:lang w:val="fr-BE" w:eastAsia="fr-FR"/>
        </w:rPr>
        <w:t>L’exploitation des retours d’expérience : inspections, contrôles, incidents, accidents, exercices POI ;</w:t>
      </w:r>
    </w:p>
    <w:p w14:paraId="71104634" w14:textId="77777777" w:rsidR="00874DF7" w:rsidRDefault="00874DF7" w:rsidP="00874DF7">
      <w:pPr>
        <w:numPr>
          <w:ilvl w:val="0"/>
          <w:numId w:val="91"/>
        </w:numPr>
        <w:rPr>
          <w:lang w:val="fr-BE" w:eastAsia="fr-FR"/>
        </w:rPr>
      </w:pPr>
      <w:r w:rsidRPr="00874DF7">
        <w:rPr>
          <w:lang w:val="fr-BE" w:eastAsia="fr-FR"/>
        </w:rPr>
        <w:t>L’organisation d’échanges avec les parties prenantes internes.</w:t>
      </w:r>
    </w:p>
    <w:p w14:paraId="6FD95344" w14:textId="71643E1D" w:rsidR="00874DF7" w:rsidRPr="00874DF7" w:rsidRDefault="00874DF7" w:rsidP="00874DF7">
      <w:pPr>
        <w:pStyle w:val="Paragraphedeliste"/>
        <w:ind w:left="-567" w:hanging="284"/>
        <w:rPr>
          <w:lang w:val="fr-BE"/>
        </w:rPr>
      </w:pPr>
      <w:r w:rsidRPr="00874DF7">
        <w:rPr>
          <w:lang w:val="fr-BE"/>
        </w:rPr>
        <w:t>Phase 2 – Élaboration de la notice de réexamen quinquennal</w:t>
      </w:r>
      <w:r>
        <w:rPr>
          <w:lang w:val="fr-BE"/>
        </w:rPr>
        <w:t> :</w:t>
      </w:r>
    </w:p>
    <w:p w14:paraId="7F5C4937" w14:textId="77777777" w:rsidR="00874DF7" w:rsidRPr="00874DF7" w:rsidRDefault="00874DF7" w:rsidP="00874DF7">
      <w:pPr>
        <w:ind w:left="-1134"/>
        <w:rPr>
          <w:lang w:val="fr-BE" w:eastAsia="fr-FR"/>
        </w:rPr>
      </w:pPr>
      <w:r w:rsidRPr="00874DF7">
        <w:rPr>
          <w:lang w:val="fr-BE" w:eastAsia="fr-FR"/>
        </w:rPr>
        <w:t>Cette phase inclut :</w:t>
      </w:r>
    </w:p>
    <w:p w14:paraId="1271CA61" w14:textId="77777777" w:rsidR="00874DF7" w:rsidRPr="00874DF7" w:rsidRDefault="00874DF7" w:rsidP="00874DF7">
      <w:pPr>
        <w:numPr>
          <w:ilvl w:val="0"/>
          <w:numId w:val="92"/>
        </w:numPr>
        <w:rPr>
          <w:lang w:val="fr-BE" w:eastAsia="fr-FR"/>
        </w:rPr>
      </w:pPr>
      <w:r w:rsidRPr="00874DF7">
        <w:rPr>
          <w:lang w:val="fr-BE" w:eastAsia="fr-FR"/>
        </w:rPr>
        <w:t>La mise à jour des scénarios d’accidents majeurs et leur hiérarchisation ;</w:t>
      </w:r>
    </w:p>
    <w:p w14:paraId="326DA768" w14:textId="77777777" w:rsidR="00874DF7" w:rsidRPr="00874DF7" w:rsidRDefault="00874DF7" w:rsidP="00874DF7">
      <w:pPr>
        <w:numPr>
          <w:ilvl w:val="0"/>
          <w:numId w:val="92"/>
        </w:numPr>
        <w:rPr>
          <w:lang w:val="fr-BE" w:eastAsia="fr-FR"/>
        </w:rPr>
      </w:pPr>
      <w:r w:rsidRPr="00874DF7">
        <w:rPr>
          <w:lang w:val="fr-BE" w:eastAsia="fr-FR"/>
        </w:rPr>
        <w:t>L’évaluation de l’acceptabilité des risques à l’aide d’une matrice structurée ;</w:t>
      </w:r>
    </w:p>
    <w:p w14:paraId="33BC1527" w14:textId="77777777" w:rsidR="00874DF7" w:rsidRPr="00874DF7" w:rsidRDefault="00874DF7" w:rsidP="00874DF7">
      <w:pPr>
        <w:numPr>
          <w:ilvl w:val="0"/>
          <w:numId w:val="92"/>
        </w:numPr>
        <w:rPr>
          <w:lang w:val="fr-BE" w:eastAsia="fr-FR"/>
        </w:rPr>
      </w:pPr>
      <w:r w:rsidRPr="00874DF7">
        <w:rPr>
          <w:lang w:val="fr-BE" w:eastAsia="fr-FR"/>
        </w:rPr>
        <w:t>La proposition de mesures de maîtrise des risques ;</w:t>
      </w:r>
    </w:p>
    <w:p w14:paraId="518440E0" w14:textId="77777777" w:rsidR="00874DF7" w:rsidRPr="00874DF7" w:rsidRDefault="00874DF7" w:rsidP="00874DF7">
      <w:pPr>
        <w:numPr>
          <w:ilvl w:val="0"/>
          <w:numId w:val="92"/>
        </w:numPr>
        <w:rPr>
          <w:lang w:val="fr-BE" w:eastAsia="fr-FR"/>
        </w:rPr>
      </w:pPr>
      <w:r w:rsidRPr="00874DF7">
        <w:rPr>
          <w:lang w:val="fr-BE" w:eastAsia="fr-FR"/>
        </w:rPr>
        <w:t>La rédaction de la notice de réexamen conforme aux attentes de l’administration ;</w:t>
      </w:r>
    </w:p>
    <w:p w14:paraId="59B9A4B2" w14:textId="77777777" w:rsidR="00874DF7" w:rsidRPr="00874DF7" w:rsidRDefault="00874DF7" w:rsidP="00874DF7">
      <w:pPr>
        <w:numPr>
          <w:ilvl w:val="0"/>
          <w:numId w:val="92"/>
        </w:numPr>
        <w:rPr>
          <w:lang w:val="fr-BE" w:eastAsia="fr-FR"/>
        </w:rPr>
      </w:pPr>
      <w:r w:rsidRPr="00874DF7">
        <w:rPr>
          <w:lang w:val="fr-BE" w:eastAsia="fr-FR"/>
        </w:rPr>
        <w:t>La remise du livrable final dans le format demandé.</w:t>
      </w:r>
    </w:p>
    <w:p w14:paraId="441EB5EF" w14:textId="0581A93C" w:rsidR="002D7ACA" w:rsidRPr="002D7ACA" w:rsidRDefault="000C358F" w:rsidP="009D7405">
      <w:pPr>
        <w:pStyle w:val="Titre2"/>
      </w:pPr>
      <w:bookmarkStart w:id="35" w:name="_Toc198637880"/>
      <w:bookmarkStart w:id="36" w:name="_Toc161406944"/>
      <w:r w:rsidRPr="002D7ACA">
        <w:t>Contenu des prix</w:t>
      </w:r>
      <w:bookmarkEnd w:id="35"/>
      <w:r w:rsidRPr="002D7ACA">
        <w:t xml:space="preserve"> </w:t>
      </w:r>
      <w:bookmarkEnd w:id="36"/>
    </w:p>
    <w:p w14:paraId="31C07721" w14:textId="60BA1F10" w:rsidR="000C358F" w:rsidRPr="00BD48F4" w:rsidRDefault="000C358F" w:rsidP="0061446C">
      <w:pPr>
        <w:spacing w:line="276" w:lineRule="auto"/>
        <w:ind w:left="-1134"/>
        <w:jc w:val="both"/>
      </w:pPr>
      <w:r w:rsidRPr="00BD48F4">
        <w:t>Le prix forfaitaire comprend l’accomplissement de l’ensemble des prestations décrites dans les pièces contractuelles</w:t>
      </w:r>
      <w:r w:rsidR="008376D0">
        <w:t>.</w:t>
      </w:r>
    </w:p>
    <w:p w14:paraId="79A38CEA" w14:textId="77777777" w:rsidR="001817C1" w:rsidRDefault="00674513" w:rsidP="0061446C">
      <w:pPr>
        <w:spacing w:line="276" w:lineRule="auto"/>
        <w:ind w:left="-1134"/>
        <w:jc w:val="both"/>
        <w:rPr>
          <w:lang w:val="fr-BE"/>
        </w:rPr>
      </w:pPr>
      <w:r w:rsidRPr="00674513">
        <w:rPr>
          <w:lang w:val="fr-BE"/>
        </w:rPr>
        <w:t xml:space="preserve">Les prix, exprimés en euros, comprennent notamment l'ensemble des vacations, les dépenses de main-d'œuvre, les fournitures, ainsi que tous les frais généraux, les bénéfices, les charges sociales, fiscales et parafiscales, et les diverses taxes. Ils incluent également la prise en charge des risques d'accidents, qu'ils concernent les personnes ou les tiers, susceptibles de survenir lors de l'exécution des prestations. Ainsi, aucun supplément de quelque nature que ce soit ne pourra être ajouté. </w:t>
      </w:r>
    </w:p>
    <w:p w14:paraId="23E76EBC" w14:textId="3845B1CE" w:rsidR="00674513" w:rsidRPr="00674513" w:rsidRDefault="00674513" w:rsidP="0061446C">
      <w:pPr>
        <w:spacing w:line="276" w:lineRule="auto"/>
        <w:ind w:left="-1134"/>
        <w:jc w:val="both"/>
        <w:rPr>
          <w:lang w:val="fr-BE"/>
        </w:rPr>
      </w:pPr>
      <w:r w:rsidRPr="00674513">
        <w:rPr>
          <w:lang w:val="fr-BE"/>
        </w:rPr>
        <w:t>De plus, tous les frais de déplacement nécessaires sont intégralement</w:t>
      </w:r>
      <w:r w:rsidR="009F0371">
        <w:rPr>
          <w:lang w:val="fr-BE"/>
        </w:rPr>
        <w:t xml:space="preserve"> inclus.</w:t>
      </w:r>
    </w:p>
    <w:p w14:paraId="292CCC9A" w14:textId="6547E34B" w:rsidR="004A1961" w:rsidRPr="00874DF7" w:rsidRDefault="002D7ACA" w:rsidP="00874DF7">
      <w:pPr>
        <w:pStyle w:val="Titre2"/>
      </w:pPr>
      <w:bookmarkStart w:id="37" w:name="_Toc198637881"/>
      <w:r w:rsidRPr="002D7ACA">
        <w:t>Révision des prix</w:t>
      </w:r>
      <w:bookmarkEnd w:id="37"/>
      <w:r w:rsidRPr="002D7ACA">
        <w:t xml:space="preserve"> </w:t>
      </w:r>
    </w:p>
    <w:p w14:paraId="66979B0E" w14:textId="703CC079" w:rsidR="004A1961" w:rsidRPr="004A1961" w:rsidRDefault="004A1961" w:rsidP="00874DF7">
      <w:pPr>
        <w:ind w:left="-1134"/>
        <w:jc w:val="both"/>
        <w:rPr>
          <w:lang w:val="fr-BE" w:eastAsia="fr-FR"/>
        </w:rPr>
      </w:pPr>
      <w:bookmarkStart w:id="38" w:name="_Hlk197983738"/>
      <w:r w:rsidRPr="004A1961">
        <w:rPr>
          <w:lang w:val="fr-BE" w:eastAsia="fr-FR"/>
        </w:rPr>
        <w:t xml:space="preserve">Les prix indiqués au bordereau des prix </w:t>
      </w:r>
      <w:r w:rsidRPr="00874DF7">
        <w:rPr>
          <w:lang w:val="fr-BE" w:eastAsia="fr-FR"/>
        </w:rPr>
        <w:t>sont fermes et non révisables</w:t>
      </w:r>
      <w:r w:rsidRPr="004A1961">
        <w:rPr>
          <w:lang w:val="fr-BE" w:eastAsia="fr-FR"/>
        </w:rPr>
        <w:t xml:space="preserve"> pendant toute la durée du marché</w:t>
      </w:r>
      <w:r w:rsidR="00874DF7">
        <w:rPr>
          <w:lang w:val="fr-BE" w:eastAsia="fr-FR"/>
        </w:rPr>
        <w:t>.</w:t>
      </w:r>
    </w:p>
    <w:bookmarkEnd w:id="38"/>
    <w:p w14:paraId="67EF0B61" w14:textId="77777777" w:rsidR="004A1961" w:rsidRDefault="004A1961" w:rsidP="00874DF7">
      <w:pPr>
        <w:ind w:left="-1134"/>
        <w:jc w:val="both"/>
        <w:rPr>
          <w:lang w:val="fr-BE" w:eastAsia="fr-FR"/>
        </w:rPr>
      </w:pPr>
      <w:r w:rsidRPr="004A1961">
        <w:rPr>
          <w:lang w:val="fr-BE" w:eastAsia="fr-FR"/>
        </w:rPr>
        <w:t>Aucune révision ne sera appliquée au cours de cette période, quelle que soit l’évolution des indices économiques ou réglementaires.</w:t>
      </w:r>
    </w:p>
    <w:p w14:paraId="0601B5F2" w14:textId="776F25E6" w:rsidR="004657BA" w:rsidRDefault="00A070F6" w:rsidP="00394727">
      <w:pPr>
        <w:pStyle w:val="Titre1"/>
      </w:pPr>
      <w:bookmarkStart w:id="39" w:name="_Toc161406945"/>
      <w:bookmarkStart w:id="40" w:name="_Toc198637882"/>
      <w:r>
        <w:t xml:space="preserve">MODE DE </w:t>
      </w:r>
      <w:r w:rsidRPr="00A070F6">
        <w:t>F</w:t>
      </w:r>
      <w:bookmarkEnd w:id="39"/>
      <w:r>
        <w:t>ACTURATION</w:t>
      </w:r>
      <w:bookmarkEnd w:id="40"/>
    </w:p>
    <w:p w14:paraId="0919381A" w14:textId="2789FD5D" w:rsidR="000B09C5" w:rsidRPr="000B09C5" w:rsidRDefault="000B09C5" w:rsidP="0022466F">
      <w:pPr>
        <w:ind w:left="-1134"/>
      </w:pPr>
      <w:r>
        <w:t>Cet article est négociable.</w:t>
      </w:r>
    </w:p>
    <w:p w14:paraId="5D83CE20" w14:textId="50EBDB32" w:rsidR="000B09C5" w:rsidRDefault="000B09C5" w:rsidP="000B09C5">
      <w:pPr>
        <w:pStyle w:val="Titre2"/>
        <w:rPr>
          <w:rFonts w:eastAsiaTheme="minorHAnsi"/>
          <w:lang w:val="fr-BE"/>
        </w:rPr>
      </w:pPr>
      <w:bookmarkStart w:id="41" w:name="_Toc198637883"/>
      <w:r w:rsidRPr="00181BF8">
        <w:rPr>
          <w:rFonts w:eastAsiaTheme="minorHAnsi"/>
          <w:lang w:val="fr-BE"/>
        </w:rPr>
        <w:lastRenderedPageBreak/>
        <w:t>Clauses de réception et paiement associés</w:t>
      </w:r>
      <w:bookmarkEnd w:id="41"/>
    </w:p>
    <w:p w14:paraId="7EF11ADF" w14:textId="77777777" w:rsidR="000B09C5" w:rsidRPr="009D7405" w:rsidRDefault="000B09C5" w:rsidP="000B09C5">
      <w:pPr>
        <w:pStyle w:val="Titre3"/>
      </w:pPr>
      <w:bookmarkStart w:id="42" w:name="_Toc198637884"/>
      <w:r w:rsidRPr="009D7405">
        <w:t>Réception provisoire :</w:t>
      </w:r>
      <w:bookmarkEnd w:id="42"/>
    </w:p>
    <w:p w14:paraId="6DAA1773" w14:textId="450EA297" w:rsidR="000B09C5" w:rsidRPr="0022466F" w:rsidRDefault="0022466F" w:rsidP="0022466F">
      <w:pPr>
        <w:ind w:left="-1134"/>
        <w:jc w:val="both"/>
        <w:rPr>
          <w:lang w:val="fr-BE"/>
        </w:rPr>
      </w:pPr>
      <w:r w:rsidRPr="0022466F">
        <w:t>Une réception provisoire sera prononcée à l’issue de la Phase 2 de la mission, après vérification de la conformité des livrables aux exigences du CCTP, notamment la qualité de la notice de réexamen remise.</w:t>
      </w:r>
      <w:r w:rsidRPr="0022466F">
        <w:br/>
        <w:t>Un procès-verbal de réception provisoire sera établi, conditionnant l’acceptation formelle de la mission.</w:t>
      </w:r>
    </w:p>
    <w:p w14:paraId="64F37AC8" w14:textId="77777777" w:rsidR="0022466F" w:rsidRDefault="000B09C5" w:rsidP="0022466F">
      <w:pPr>
        <w:pStyle w:val="Titre3"/>
      </w:pPr>
      <w:bookmarkStart w:id="43" w:name="_Toc198637885"/>
      <w:r w:rsidRPr="00181BF8">
        <w:t>Levée des dernières réserves :</w:t>
      </w:r>
      <w:bookmarkEnd w:id="43"/>
    </w:p>
    <w:p w14:paraId="1A321BF7" w14:textId="6BBA2ED5" w:rsidR="0022466F" w:rsidRDefault="0022466F" w:rsidP="0022466F">
      <w:pPr>
        <w:ind w:left="-1134"/>
        <w:jc w:val="both"/>
      </w:pPr>
      <w:r w:rsidRPr="0022466F">
        <w:t>En cas de réserves formulées lors de la réception provisoire, le titulaire devra procéder à leur levée dans un délai raisonnable défini conjointement avec le pouvoir adjudicateur.</w:t>
      </w:r>
    </w:p>
    <w:p w14:paraId="5CDF1516" w14:textId="7751DA56" w:rsidR="00A070F6" w:rsidRPr="000B09C5" w:rsidRDefault="0022466F" w:rsidP="0022466F">
      <w:pPr>
        <w:ind w:left="-1134"/>
        <w:jc w:val="both"/>
        <w:rPr>
          <w:lang w:val="fr-BE" w:eastAsia="fr-FR"/>
        </w:rPr>
      </w:pPr>
      <w:r w:rsidRPr="0022466F">
        <w:rPr>
          <w:lang w:eastAsia="fr-FR"/>
        </w:rPr>
        <w:t>Une réception définitive sera prononcée une fois toutes les réserves levées et validées. Celle-ci conditionnera le paiement du solde de la prestation.</w:t>
      </w:r>
    </w:p>
    <w:p w14:paraId="197AE26D" w14:textId="4DF4D8F3" w:rsidR="00A070F6" w:rsidRDefault="00E35425" w:rsidP="009D7405">
      <w:pPr>
        <w:pStyle w:val="Titre2"/>
      </w:pPr>
      <w:bookmarkStart w:id="44" w:name="_Toc198637886"/>
      <w:r>
        <w:t>Termes de paiement</w:t>
      </w:r>
      <w:bookmarkEnd w:id="44"/>
      <w:r>
        <w:t xml:space="preserve"> </w:t>
      </w:r>
    </w:p>
    <w:p w14:paraId="4112CB7E" w14:textId="77777777" w:rsidR="0022466F" w:rsidRPr="0022466F" w:rsidRDefault="0022466F" w:rsidP="0022466F">
      <w:pPr>
        <w:spacing w:after="100" w:afterAutospacing="1" w:line="240" w:lineRule="auto"/>
        <w:ind w:left="-1134"/>
        <w:jc w:val="both"/>
        <w:rPr>
          <w:lang w:val="fr-BE"/>
        </w:rPr>
      </w:pPr>
      <w:r w:rsidRPr="0022466F">
        <w:rPr>
          <w:lang w:val="fr-BE"/>
        </w:rPr>
        <w:t>Le marché étant traité à prix global et forfaitaire, les conditions de facturation sont les suivantes pour l’unité d’œuvre unique (UO1) :</w:t>
      </w:r>
    </w:p>
    <w:p w14:paraId="09157718" w14:textId="77777777" w:rsidR="0022466F" w:rsidRPr="0022466F" w:rsidRDefault="0022466F" w:rsidP="0022466F">
      <w:pPr>
        <w:numPr>
          <w:ilvl w:val="0"/>
          <w:numId w:val="93"/>
        </w:numPr>
        <w:spacing w:before="100" w:beforeAutospacing="1" w:after="100" w:afterAutospacing="1" w:line="276" w:lineRule="auto"/>
        <w:jc w:val="both"/>
        <w:rPr>
          <w:lang w:val="fr-BE"/>
        </w:rPr>
      </w:pPr>
      <w:r w:rsidRPr="0022466F">
        <w:rPr>
          <w:i/>
          <w:iCs/>
          <w:lang w:val="fr-BE"/>
        </w:rPr>
        <w:t>1ʳᵉ tranche (40 %) :</w:t>
      </w:r>
      <w:r w:rsidRPr="0022466F">
        <w:rPr>
          <w:lang w:val="fr-BE"/>
        </w:rPr>
        <w:t xml:space="preserve"> versée à l’issue de la Phase 1 – après validation du bilan technique et réglementaire par le pouvoir adjudicateur.</w:t>
      </w:r>
    </w:p>
    <w:p w14:paraId="178690CA" w14:textId="77777777" w:rsidR="0022466F" w:rsidRPr="0022466F" w:rsidRDefault="0022466F" w:rsidP="0022466F">
      <w:pPr>
        <w:numPr>
          <w:ilvl w:val="0"/>
          <w:numId w:val="93"/>
        </w:numPr>
        <w:spacing w:before="100" w:beforeAutospacing="1" w:after="100" w:afterAutospacing="1" w:line="276" w:lineRule="auto"/>
        <w:jc w:val="both"/>
        <w:rPr>
          <w:lang w:val="fr-BE"/>
        </w:rPr>
      </w:pPr>
      <w:r w:rsidRPr="0022466F">
        <w:rPr>
          <w:i/>
          <w:iCs/>
          <w:lang w:val="fr-BE"/>
        </w:rPr>
        <w:t>2ᵉ tranche (40 %) :</w:t>
      </w:r>
      <w:r w:rsidRPr="0022466F">
        <w:rPr>
          <w:lang w:val="fr-BE"/>
        </w:rPr>
        <w:t xml:space="preserve"> versée à l’issue de la Phase 2 – après remise de la notice de réexamen et prononcé de la réception provisoire.</w:t>
      </w:r>
    </w:p>
    <w:p w14:paraId="206D4A49" w14:textId="77777777" w:rsidR="0022466F" w:rsidRPr="0022466F" w:rsidRDefault="0022466F" w:rsidP="0022466F">
      <w:pPr>
        <w:numPr>
          <w:ilvl w:val="0"/>
          <w:numId w:val="93"/>
        </w:numPr>
        <w:spacing w:before="100" w:beforeAutospacing="1" w:after="100" w:afterAutospacing="1" w:line="276" w:lineRule="auto"/>
        <w:jc w:val="both"/>
        <w:rPr>
          <w:lang w:val="fr-BE"/>
        </w:rPr>
      </w:pPr>
      <w:r w:rsidRPr="0022466F">
        <w:rPr>
          <w:i/>
          <w:iCs/>
          <w:lang w:val="fr-BE"/>
        </w:rPr>
        <w:t>3ᵉ tranche (20 %) :</w:t>
      </w:r>
      <w:r w:rsidRPr="0022466F">
        <w:rPr>
          <w:lang w:val="fr-BE"/>
        </w:rPr>
        <w:t xml:space="preserve"> versée après levée des éventuelles réserves et réception définitive des prestations.</w:t>
      </w:r>
    </w:p>
    <w:p w14:paraId="1BC78F24" w14:textId="77777777" w:rsidR="0022466F" w:rsidRPr="0022466F" w:rsidRDefault="0022466F" w:rsidP="0022466F">
      <w:pPr>
        <w:spacing w:before="100" w:beforeAutospacing="1" w:after="100" w:afterAutospacing="1" w:line="240" w:lineRule="auto"/>
        <w:ind w:left="-1134"/>
        <w:jc w:val="both"/>
        <w:rPr>
          <w:lang w:val="fr-BE"/>
        </w:rPr>
      </w:pPr>
      <w:r w:rsidRPr="0022466F">
        <w:rPr>
          <w:lang w:val="fr-BE"/>
        </w:rPr>
        <w:t>Chaque facture devra être accompagnée, le cas échéant, d’un relevé d’activités ou d’un état d’avancement, validé par le maître d’ouvrage.</w:t>
      </w:r>
    </w:p>
    <w:p w14:paraId="51CB0988" w14:textId="77777777" w:rsidR="0022466F" w:rsidRPr="0022466F" w:rsidRDefault="0022466F" w:rsidP="0022466F">
      <w:pPr>
        <w:spacing w:before="100" w:beforeAutospacing="1" w:after="100" w:afterAutospacing="1" w:line="240" w:lineRule="auto"/>
        <w:ind w:left="-1134"/>
        <w:jc w:val="both"/>
        <w:rPr>
          <w:lang w:val="fr-BE"/>
        </w:rPr>
      </w:pPr>
      <w:r w:rsidRPr="0022466F">
        <w:rPr>
          <w:lang w:val="fr-BE"/>
        </w:rPr>
        <w:t>Les factures seront réglées selon les délais de paiement en vigueur dans la commande publique, conformément aux articles R.2192-10 et suivants du Code de la commande publique.</w:t>
      </w:r>
    </w:p>
    <w:p w14:paraId="1A76ED53" w14:textId="6D707A53" w:rsidR="0026464C" w:rsidRPr="0026464C" w:rsidRDefault="00A070F6" w:rsidP="0026464C">
      <w:pPr>
        <w:pStyle w:val="Titre2"/>
      </w:pPr>
      <w:bookmarkStart w:id="45" w:name="_Toc198637887"/>
      <w:r w:rsidRPr="0026464C">
        <w:t>Modalités de paiement</w:t>
      </w:r>
      <w:bookmarkEnd w:id="45"/>
      <w:r w:rsidRPr="0026464C">
        <w:t xml:space="preserve"> </w:t>
      </w:r>
    </w:p>
    <w:p w14:paraId="78BC6F26" w14:textId="77777777" w:rsidR="00A070F6" w:rsidRPr="00BD48F4" w:rsidRDefault="00A070F6" w:rsidP="0026464C">
      <w:pPr>
        <w:ind w:left="-1134"/>
      </w:pPr>
      <w:r w:rsidRPr="00BD48F4">
        <w:t xml:space="preserve">La facture ou son équivalent sera établi en un original et 2 copies portant, outre les mentions légales, les annotations suivantes : </w:t>
      </w:r>
    </w:p>
    <w:p w14:paraId="7000F20C" w14:textId="77777777" w:rsidR="00A070F6" w:rsidRPr="00BD48F4" w:rsidRDefault="00A070F6" w:rsidP="00E35425">
      <w:pPr>
        <w:pStyle w:val="Paragraphedeliste"/>
        <w:numPr>
          <w:ilvl w:val="0"/>
          <w:numId w:val="47"/>
        </w:numPr>
        <w:spacing w:after="108" w:line="248" w:lineRule="auto"/>
        <w:ind w:left="0" w:hanging="426"/>
      </w:pPr>
      <w:r w:rsidRPr="00BD48F4">
        <w:t xml:space="preserve">Nom et adresse du créancier, </w:t>
      </w:r>
    </w:p>
    <w:p w14:paraId="6F52B044" w14:textId="77777777" w:rsidR="00A070F6" w:rsidRPr="00BD48F4" w:rsidRDefault="00A070F6" w:rsidP="00E35425">
      <w:pPr>
        <w:pStyle w:val="Paragraphedeliste"/>
        <w:numPr>
          <w:ilvl w:val="0"/>
          <w:numId w:val="47"/>
        </w:numPr>
        <w:spacing w:after="108" w:line="248" w:lineRule="auto"/>
        <w:ind w:left="0" w:hanging="426"/>
      </w:pPr>
      <w:r w:rsidRPr="00BD48F4">
        <w:t xml:space="preserve">Numéro de compte bancaire ou postal, </w:t>
      </w:r>
    </w:p>
    <w:p w14:paraId="52410EEC" w14:textId="45504D85" w:rsidR="00A070F6" w:rsidRPr="00BD48F4" w:rsidRDefault="00E35425" w:rsidP="00E35425">
      <w:pPr>
        <w:pStyle w:val="Paragraphedeliste"/>
        <w:numPr>
          <w:ilvl w:val="0"/>
          <w:numId w:val="47"/>
        </w:numPr>
        <w:spacing w:after="108" w:line="248" w:lineRule="auto"/>
        <w:ind w:left="0" w:hanging="426"/>
      </w:pPr>
      <w:r>
        <w:t>Date</w:t>
      </w:r>
      <w:r w:rsidR="00A070F6" w:rsidRPr="00BD48F4">
        <w:t xml:space="preserve"> de la </w:t>
      </w:r>
      <w:r>
        <w:t>prestation</w:t>
      </w:r>
      <w:r w:rsidR="00A070F6" w:rsidRPr="00BD48F4">
        <w:t xml:space="preserve">, </w:t>
      </w:r>
    </w:p>
    <w:p w14:paraId="24E65511" w14:textId="77777777" w:rsidR="00A070F6" w:rsidRPr="00BD48F4" w:rsidRDefault="00A070F6" w:rsidP="00E35425">
      <w:pPr>
        <w:pStyle w:val="Paragraphedeliste"/>
        <w:numPr>
          <w:ilvl w:val="0"/>
          <w:numId w:val="47"/>
        </w:numPr>
        <w:spacing w:after="108" w:line="248" w:lineRule="auto"/>
        <w:ind w:left="0" w:hanging="426"/>
      </w:pPr>
      <w:r w:rsidRPr="00BD48F4">
        <w:t>Le numéro de bon de commande associé,</w:t>
      </w:r>
    </w:p>
    <w:p w14:paraId="335A4525" w14:textId="2991423C" w:rsidR="00A070F6" w:rsidRPr="00BD48F4" w:rsidRDefault="00A070F6" w:rsidP="00E35425">
      <w:pPr>
        <w:pStyle w:val="Paragraphedeliste"/>
        <w:numPr>
          <w:ilvl w:val="0"/>
          <w:numId w:val="47"/>
        </w:numPr>
        <w:spacing w:after="108" w:line="248" w:lineRule="auto"/>
        <w:ind w:left="0" w:hanging="426"/>
      </w:pPr>
      <w:r w:rsidRPr="00BD48F4">
        <w:t xml:space="preserve">Montant </w:t>
      </w:r>
      <w:r w:rsidR="00E35425" w:rsidRPr="00BD48F4">
        <w:t>HT</w:t>
      </w:r>
      <w:r w:rsidRPr="00BD48F4">
        <w:t xml:space="preserve"> de la prestation réalisée, </w:t>
      </w:r>
    </w:p>
    <w:p w14:paraId="291B595C" w14:textId="77777777" w:rsidR="00A070F6" w:rsidRPr="00BD48F4" w:rsidRDefault="00A070F6" w:rsidP="00E35425">
      <w:pPr>
        <w:pStyle w:val="Paragraphedeliste"/>
        <w:numPr>
          <w:ilvl w:val="0"/>
          <w:numId w:val="47"/>
        </w:numPr>
        <w:spacing w:after="108" w:line="248" w:lineRule="auto"/>
        <w:ind w:left="0" w:hanging="426"/>
      </w:pPr>
      <w:r w:rsidRPr="00BD48F4">
        <w:t xml:space="preserve">Taux et montant de la tva </w:t>
      </w:r>
    </w:p>
    <w:p w14:paraId="4443E99C" w14:textId="77777777" w:rsidR="00A070F6" w:rsidRPr="00BD48F4" w:rsidRDefault="00A070F6" w:rsidP="00E35425">
      <w:pPr>
        <w:ind w:left="-1134"/>
        <w:jc w:val="both"/>
      </w:pPr>
      <w:r w:rsidRPr="00BD48F4">
        <w:t>Elle est accompagnée de l’attestation des services faits, signée par le pouvoir adjudicateur dans les conditions mentionnées plus haut. Elle est éventuellement également accompagnée des avoirs mentionnés au CCTP. En l’absence de ces documents, la facture est systématiquement retournée au titulaire, sans que celui-ci ne puisse se prévaloir de toute indemnité de retard liée au paiement retardé. La date de la nouvelle facture est modifiée.</w:t>
      </w:r>
    </w:p>
    <w:p w14:paraId="6AD21B0B" w14:textId="37A1CB3B" w:rsidR="00A070F6" w:rsidRPr="00BD48F4" w:rsidRDefault="00A070F6" w:rsidP="00E35425">
      <w:pPr>
        <w:ind w:left="-1134"/>
        <w:jc w:val="both"/>
      </w:pPr>
      <w:r w:rsidRPr="00BD48F4">
        <w:t xml:space="preserve">L’ensemble de ces documents (factures, attestation de service fait, avoir) devra être adressé </w:t>
      </w:r>
      <w:r w:rsidR="00E35425">
        <w:t>au</w:t>
      </w:r>
      <w:r w:rsidR="00433D73">
        <w:t xml:space="preserve"> </w:t>
      </w:r>
      <w:r w:rsidR="00433D73" w:rsidRPr="00433D73">
        <w:t>GPM-Guyane</w:t>
      </w:r>
      <w:r w:rsidR="00E35425">
        <w:t xml:space="preserve"> </w:t>
      </w:r>
      <w:r w:rsidRPr="00BD48F4">
        <w:t>par courriel.</w:t>
      </w:r>
    </w:p>
    <w:p w14:paraId="196473DA" w14:textId="4D69041A" w:rsidR="00A070F6" w:rsidRPr="00BD48F4" w:rsidRDefault="00A070F6" w:rsidP="00E35425">
      <w:pPr>
        <w:ind w:left="-1134"/>
        <w:jc w:val="both"/>
      </w:pPr>
      <w:r w:rsidRPr="00BD48F4">
        <w:t>Les factures doivent parvenir dans les 15 jours qui suivent le mois d’exécution de la prestation</w:t>
      </w:r>
      <w:r w:rsidR="00E35425">
        <w:t>.</w:t>
      </w:r>
    </w:p>
    <w:p w14:paraId="1453664A" w14:textId="6DCAF78B" w:rsidR="00C43A21" w:rsidRDefault="00C43A21" w:rsidP="00394727">
      <w:pPr>
        <w:pStyle w:val="Titre1"/>
        <w:rPr>
          <w:lang w:eastAsia="fr-FR"/>
        </w:rPr>
      </w:pPr>
      <w:bookmarkStart w:id="46" w:name="_Toc198637888"/>
      <w:bookmarkEnd w:id="3"/>
      <w:r>
        <w:rPr>
          <w:lang w:eastAsia="fr-FR"/>
        </w:rPr>
        <w:lastRenderedPageBreak/>
        <w:t>PENALITES</w:t>
      </w:r>
      <w:bookmarkEnd w:id="46"/>
      <w:r>
        <w:rPr>
          <w:lang w:eastAsia="fr-FR"/>
        </w:rPr>
        <w:t xml:space="preserve"> </w:t>
      </w:r>
    </w:p>
    <w:p w14:paraId="771CC532" w14:textId="4E771A12" w:rsidR="005929C1" w:rsidRDefault="005929C1" w:rsidP="005929C1">
      <w:pPr>
        <w:spacing w:line="276" w:lineRule="auto"/>
        <w:ind w:left="-1134"/>
        <w:jc w:val="both"/>
      </w:pPr>
      <w:r w:rsidRPr="005929C1">
        <w:t>Par dérogation aux stipulations de l’article correspondant du CCAG-PI, des pénalités seront appliquées, sans mise en demeure préalable sauf disposition contraire, en cas de retard dans l’exécution des prestations ou de non-conformité. Les modalités de calcul et le montant des pénalités sont précisés ci-après</w:t>
      </w:r>
      <w:r>
        <w:t> :</w:t>
      </w:r>
    </w:p>
    <w:p w14:paraId="5F3483D8" w14:textId="77777777" w:rsidR="00797E61" w:rsidRDefault="00797E61" w:rsidP="005929C1">
      <w:pPr>
        <w:spacing w:line="276" w:lineRule="auto"/>
        <w:ind w:left="-1134"/>
        <w:jc w:val="both"/>
      </w:pPr>
    </w:p>
    <w:tbl>
      <w:tblPr>
        <w:tblW w:w="10628" w:type="dxa"/>
        <w:tblInd w:w="-1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3539"/>
        <w:gridCol w:w="3119"/>
        <w:gridCol w:w="3119"/>
      </w:tblGrid>
      <w:tr w:rsidR="00797E61" w:rsidRPr="00797E61" w14:paraId="3A3D303E" w14:textId="77777777" w:rsidTr="00797E61">
        <w:trPr>
          <w:trHeight w:val="790"/>
        </w:trPr>
        <w:tc>
          <w:tcPr>
            <w:tcW w:w="851" w:type="dxa"/>
            <w:noWrap/>
            <w:vAlign w:val="center"/>
            <w:hideMark/>
          </w:tcPr>
          <w:p w14:paraId="2C75F0AA"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w:t>
            </w:r>
          </w:p>
        </w:tc>
        <w:tc>
          <w:tcPr>
            <w:tcW w:w="3539" w:type="dxa"/>
            <w:shd w:val="clear" w:color="000000" w:fill="D9D9D9"/>
            <w:noWrap/>
            <w:vAlign w:val="center"/>
            <w:hideMark/>
          </w:tcPr>
          <w:p w14:paraId="439E69F9"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 xml:space="preserve">Exigences </w:t>
            </w:r>
          </w:p>
        </w:tc>
        <w:tc>
          <w:tcPr>
            <w:tcW w:w="3119" w:type="dxa"/>
            <w:shd w:val="clear" w:color="000000" w:fill="D9D9D9"/>
            <w:vAlign w:val="center"/>
            <w:hideMark/>
          </w:tcPr>
          <w:p w14:paraId="2F54427C"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Critère d'exigence</w:t>
            </w:r>
          </w:p>
        </w:tc>
        <w:tc>
          <w:tcPr>
            <w:tcW w:w="3119" w:type="dxa"/>
            <w:shd w:val="clear" w:color="000000" w:fill="D9D9D9"/>
            <w:vAlign w:val="center"/>
            <w:hideMark/>
          </w:tcPr>
          <w:p w14:paraId="4E875E65"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Pénalités</w:t>
            </w:r>
          </w:p>
        </w:tc>
      </w:tr>
      <w:tr w:rsidR="00797E61" w:rsidRPr="00797E61" w14:paraId="6EDD80BC" w14:textId="77777777" w:rsidTr="00797E61">
        <w:trPr>
          <w:trHeight w:val="870"/>
        </w:trPr>
        <w:tc>
          <w:tcPr>
            <w:tcW w:w="851" w:type="dxa"/>
            <w:noWrap/>
            <w:vAlign w:val="center"/>
            <w:hideMark/>
          </w:tcPr>
          <w:p w14:paraId="58709569"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7220C3A5"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techniques : Analyse des évolutions des installations, procédés, substances et technologie</w:t>
            </w:r>
          </w:p>
        </w:tc>
        <w:tc>
          <w:tcPr>
            <w:tcW w:w="3119" w:type="dxa"/>
            <w:vAlign w:val="center"/>
            <w:hideMark/>
          </w:tcPr>
          <w:p w14:paraId="6DFE7D5C"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 de l’exhaustivité et de la précision de l’analyse</w:t>
            </w:r>
          </w:p>
        </w:tc>
        <w:tc>
          <w:tcPr>
            <w:tcW w:w="3119" w:type="dxa"/>
            <w:vAlign w:val="center"/>
            <w:hideMark/>
          </w:tcPr>
          <w:p w14:paraId="571C2C54"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300 € par omission d'élément critique ou analyse incomplète</w:t>
            </w:r>
          </w:p>
        </w:tc>
      </w:tr>
      <w:tr w:rsidR="00797E61" w:rsidRPr="00797E61" w14:paraId="5005D035" w14:textId="77777777" w:rsidTr="00797E61">
        <w:trPr>
          <w:trHeight w:val="1160"/>
        </w:trPr>
        <w:tc>
          <w:tcPr>
            <w:tcW w:w="851" w:type="dxa"/>
            <w:noWrap/>
            <w:vAlign w:val="center"/>
            <w:hideMark/>
          </w:tcPr>
          <w:p w14:paraId="42A08D8E"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246351BC"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techniques : intégration des évolutions réglementaires, normatives, scientifiques et les bonnes pratiques</w:t>
            </w:r>
          </w:p>
        </w:tc>
        <w:tc>
          <w:tcPr>
            <w:tcW w:w="3119" w:type="dxa"/>
            <w:vAlign w:val="center"/>
            <w:hideMark/>
          </w:tcPr>
          <w:p w14:paraId="11436846"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 des référentiels, de la conformité réglementaire et prise en compte des nouveautés</w:t>
            </w:r>
          </w:p>
        </w:tc>
        <w:tc>
          <w:tcPr>
            <w:tcW w:w="3119" w:type="dxa"/>
            <w:vAlign w:val="center"/>
            <w:hideMark/>
          </w:tcPr>
          <w:p w14:paraId="62040A23"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300 € par non-conformité avérée ou oubli d’évolution réglementaire</w:t>
            </w:r>
          </w:p>
        </w:tc>
      </w:tr>
      <w:tr w:rsidR="00797E61" w:rsidRPr="00797E61" w14:paraId="3D9F7A6D" w14:textId="77777777" w:rsidTr="00797E61">
        <w:trPr>
          <w:trHeight w:val="1160"/>
        </w:trPr>
        <w:tc>
          <w:tcPr>
            <w:tcW w:w="851" w:type="dxa"/>
            <w:noWrap/>
            <w:vAlign w:val="center"/>
            <w:hideMark/>
          </w:tcPr>
          <w:p w14:paraId="0A1165E3"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587E66C4"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techniques : Exploitation des résultats d’inspections, contrôles, incidents, accidents et exercices POI</w:t>
            </w:r>
          </w:p>
        </w:tc>
        <w:tc>
          <w:tcPr>
            <w:tcW w:w="3119" w:type="dxa"/>
            <w:vAlign w:val="center"/>
            <w:hideMark/>
          </w:tcPr>
          <w:p w14:paraId="04395AFA"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Exploitation pertinente, traçabilité des sources et valorisation du retour d’expérience</w:t>
            </w:r>
          </w:p>
        </w:tc>
        <w:tc>
          <w:tcPr>
            <w:tcW w:w="3119" w:type="dxa"/>
            <w:vAlign w:val="center"/>
            <w:hideMark/>
          </w:tcPr>
          <w:p w14:paraId="2763E045"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par source manquante ou retour d’expérience non pris en compte</w:t>
            </w:r>
          </w:p>
        </w:tc>
      </w:tr>
      <w:tr w:rsidR="00797E61" w:rsidRPr="00797E61" w14:paraId="265913DB" w14:textId="77777777" w:rsidTr="00797E61">
        <w:trPr>
          <w:trHeight w:val="870"/>
        </w:trPr>
        <w:tc>
          <w:tcPr>
            <w:tcW w:w="851" w:type="dxa"/>
            <w:noWrap/>
            <w:vAlign w:val="center"/>
            <w:hideMark/>
          </w:tcPr>
          <w:p w14:paraId="2A288CC1"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70AC83D4"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techniques : Mise à jour des scénarios d’accidents majeurs et leur hiérarchisation</w:t>
            </w:r>
          </w:p>
        </w:tc>
        <w:tc>
          <w:tcPr>
            <w:tcW w:w="3119" w:type="dxa"/>
            <w:vAlign w:val="center"/>
            <w:hideMark/>
          </w:tcPr>
          <w:p w14:paraId="254A534E"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Justification de la hiérarchisation, cohérence des scénarios, clarté des critères</w:t>
            </w:r>
          </w:p>
        </w:tc>
        <w:tc>
          <w:tcPr>
            <w:tcW w:w="3119" w:type="dxa"/>
            <w:vAlign w:val="center"/>
            <w:hideMark/>
          </w:tcPr>
          <w:p w14:paraId="2F6A9168"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300 € par scénario incohérent ou non justifié</w:t>
            </w:r>
          </w:p>
        </w:tc>
      </w:tr>
      <w:tr w:rsidR="00797E61" w:rsidRPr="00797E61" w14:paraId="0B35A427" w14:textId="77777777" w:rsidTr="00797E61">
        <w:trPr>
          <w:trHeight w:val="870"/>
        </w:trPr>
        <w:tc>
          <w:tcPr>
            <w:tcW w:w="851" w:type="dxa"/>
            <w:noWrap/>
            <w:vAlign w:val="center"/>
            <w:hideMark/>
          </w:tcPr>
          <w:p w14:paraId="425B8091"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4B600381"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techniques : Mise à jour des scénarios d’accidents majeurs et leur hiérarchisation</w:t>
            </w:r>
          </w:p>
        </w:tc>
        <w:tc>
          <w:tcPr>
            <w:tcW w:w="3119" w:type="dxa"/>
            <w:vAlign w:val="center"/>
            <w:hideMark/>
          </w:tcPr>
          <w:p w14:paraId="3D735AFB"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Assure la cohérence des scénarios et la clarté des critères</w:t>
            </w:r>
          </w:p>
        </w:tc>
        <w:tc>
          <w:tcPr>
            <w:tcW w:w="3119" w:type="dxa"/>
            <w:vAlign w:val="center"/>
            <w:hideMark/>
          </w:tcPr>
          <w:p w14:paraId="0D763756"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par critère non explicité ou scénario contradictoire</w:t>
            </w:r>
          </w:p>
        </w:tc>
      </w:tr>
      <w:tr w:rsidR="00797E61" w:rsidRPr="00797E61" w14:paraId="6A510712" w14:textId="77777777" w:rsidTr="00797E61">
        <w:trPr>
          <w:trHeight w:val="870"/>
        </w:trPr>
        <w:tc>
          <w:tcPr>
            <w:tcW w:w="851" w:type="dxa"/>
            <w:noWrap/>
            <w:vAlign w:val="center"/>
            <w:hideMark/>
          </w:tcPr>
          <w:p w14:paraId="23E731B4"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776A8F71"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techniques : Évaluation de l’acceptabilité des risques à l’aide d’une matrice structurée</w:t>
            </w:r>
          </w:p>
        </w:tc>
        <w:tc>
          <w:tcPr>
            <w:tcW w:w="3119" w:type="dxa"/>
            <w:vAlign w:val="center"/>
            <w:hideMark/>
          </w:tcPr>
          <w:p w14:paraId="4E0DE613"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Application d’une méthode reconnue avec lisibilité des résultats</w:t>
            </w:r>
          </w:p>
        </w:tc>
        <w:tc>
          <w:tcPr>
            <w:tcW w:w="3119" w:type="dxa"/>
            <w:vAlign w:val="center"/>
            <w:hideMark/>
          </w:tcPr>
          <w:p w14:paraId="064042D8"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500 € si la méthode est non conforme ou résultats illisibles</w:t>
            </w:r>
          </w:p>
        </w:tc>
      </w:tr>
      <w:tr w:rsidR="00797E61" w:rsidRPr="00797E61" w14:paraId="7DAEBF1F" w14:textId="77777777" w:rsidTr="00797E61">
        <w:trPr>
          <w:trHeight w:val="880"/>
        </w:trPr>
        <w:tc>
          <w:tcPr>
            <w:tcW w:w="851" w:type="dxa"/>
            <w:noWrap/>
            <w:vAlign w:val="center"/>
            <w:hideMark/>
          </w:tcPr>
          <w:p w14:paraId="41893CFE"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48F5B4FD"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techniques : Proposition des mesures de maîtrise des risques</w:t>
            </w:r>
          </w:p>
        </w:tc>
        <w:tc>
          <w:tcPr>
            <w:tcW w:w="3119" w:type="dxa"/>
            <w:vAlign w:val="center"/>
            <w:hideMark/>
          </w:tcPr>
          <w:p w14:paraId="152D2A26"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Pertinence des mesures avec une faisabilité technique et économique</w:t>
            </w:r>
          </w:p>
        </w:tc>
        <w:tc>
          <w:tcPr>
            <w:tcW w:w="3119" w:type="dxa"/>
            <w:vAlign w:val="center"/>
            <w:hideMark/>
          </w:tcPr>
          <w:p w14:paraId="00B6BE4A"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par mesure inapplicable, non justifiée ou incohérente</w:t>
            </w:r>
          </w:p>
        </w:tc>
      </w:tr>
      <w:tr w:rsidR="00797E61" w:rsidRPr="00797E61" w14:paraId="03C68D00" w14:textId="77777777" w:rsidTr="00797E61">
        <w:trPr>
          <w:trHeight w:val="890"/>
        </w:trPr>
        <w:tc>
          <w:tcPr>
            <w:tcW w:w="851" w:type="dxa"/>
            <w:noWrap/>
            <w:vAlign w:val="center"/>
            <w:hideMark/>
          </w:tcPr>
          <w:p w14:paraId="33E708D7"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414AF9CB"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 xml:space="preserve">Respecter les délais de livraison et d’exécution </w:t>
            </w:r>
          </w:p>
        </w:tc>
        <w:tc>
          <w:tcPr>
            <w:tcW w:w="3119" w:type="dxa"/>
            <w:vAlign w:val="center"/>
            <w:hideMark/>
          </w:tcPr>
          <w:p w14:paraId="745DCAD7"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Taux de respect du planning défini dans l'AAE</w:t>
            </w:r>
          </w:p>
        </w:tc>
        <w:tc>
          <w:tcPr>
            <w:tcW w:w="3119" w:type="dxa"/>
            <w:vAlign w:val="center"/>
            <w:hideMark/>
          </w:tcPr>
          <w:p w14:paraId="4D3BA21A"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2 % du montant total HT par semaine de retard injustifié</w:t>
            </w:r>
          </w:p>
        </w:tc>
      </w:tr>
      <w:tr w:rsidR="00797E61" w:rsidRPr="00797E61" w14:paraId="7A2B06D1" w14:textId="77777777" w:rsidTr="00797E61">
        <w:trPr>
          <w:trHeight w:val="880"/>
        </w:trPr>
        <w:tc>
          <w:tcPr>
            <w:tcW w:w="851" w:type="dxa"/>
            <w:noWrap/>
            <w:vAlign w:val="center"/>
            <w:hideMark/>
          </w:tcPr>
          <w:p w14:paraId="731BEC66"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1148F620"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 xml:space="preserve">Respecter vos promesses (Livrables et </w:t>
            </w:r>
            <w:proofErr w:type="spellStart"/>
            <w:r w:rsidRPr="00797E61">
              <w:rPr>
                <w:rFonts w:eastAsia="Times New Roman" w:cs="Arial"/>
                <w:color w:val="000000"/>
                <w:szCs w:val="20"/>
                <w:lang w:val="fr-BE" w:eastAsia="fr-BE"/>
              </w:rPr>
              <w:t>reporting</w:t>
            </w:r>
            <w:proofErr w:type="spellEnd"/>
            <w:r w:rsidRPr="00797E61">
              <w:rPr>
                <w:rFonts w:eastAsia="Times New Roman" w:cs="Arial"/>
                <w:color w:val="000000"/>
                <w:szCs w:val="20"/>
                <w:lang w:val="fr-BE" w:eastAsia="fr-BE"/>
              </w:rPr>
              <w:t>)</w:t>
            </w:r>
          </w:p>
        </w:tc>
        <w:tc>
          <w:tcPr>
            <w:tcW w:w="3119" w:type="dxa"/>
            <w:vAlign w:val="center"/>
            <w:hideMark/>
          </w:tcPr>
          <w:p w14:paraId="3716E0D9"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Stabilité de l'</w:t>
            </w:r>
            <w:proofErr w:type="spellStart"/>
            <w:r w:rsidRPr="00797E61">
              <w:rPr>
                <w:rFonts w:eastAsia="Times New Roman" w:cs="Arial"/>
                <w:color w:val="000000"/>
                <w:szCs w:val="20"/>
                <w:lang w:val="fr-BE" w:eastAsia="fr-BE"/>
              </w:rPr>
              <w:t>equipe</w:t>
            </w:r>
            <w:proofErr w:type="spellEnd"/>
            <w:r w:rsidRPr="00797E61">
              <w:rPr>
                <w:rFonts w:eastAsia="Times New Roman" w:cs="Arial"/>
                <w:color w:val="000000"/>
                <w:szCs w:val="20"/>
                <w:lang w:val="fr-BE" w:eastAsia="fr-BE"/>
              </w:rPr>
              <w:t xml:space="preserve"> projet telle que mentionnée dans l'AAE</w:t>
            </w:r>
          </w:p>
        </w:tc>
        <w:tc>
          <w:tcPr>
            <w:tcW w:w="3119" w:type="dxa"/>
            <w:vAlign w:val="center"/>
            <w:hideMark/>
          </w:tcPr>
          <w:p w14:paraId="03BCB9A8"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300 € en cas de remplacement non justifié sans accord préalable</w:t>
            </w:r>
          </w:p>
        </w:tc>
      </w:tr>
      <w:tr w:rsidR="00797E61" w:rsidRPr="00797E61" w14:paraId="53B3BD19" w14:textId="77777777" w:rsidTr="00797E61">
        <w:trPr>
          <w:trHeight w:val="880"/>
        </w:trPr>
        <w:tc>
          <w:tcPr>
            <w:tcW w:w="851" w:type="dxa"/>
            <w:noWrap/>
            <w:vAlign w:val="center"/>
            <w:hideMark/>
          </w:tcPr>
          <w:p w14:paraId="5FB1873F"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389E5786"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 xml:space="preserve">Respecter vos promesses (Livrables et </w:t>
            </w:r>
            <w:proofErr w:type="spellStart"/>
            <w:r w:rsidRPr="00797E61">
              <w:rPr>
                <w:rFonts w:eastAsia="Times New Roman" w:cs="Arial"/>
                <w:color w:val="000000"/>
                <w:szCs w:val="20"/>
                <w:lang w:val="fr-BE" w:eastAsia="fr-BE"/>
              </w:rPr>
              <w:t>reporting</w:t>
            </w:r>
            <w:proofErr w:type="spellEnd"/>
            <w:r w:rsidRPr="00797E61">
              <w:rPr>
                <w:rFonts w:eastAsia="Times New Roman" w:cs="Arial"/>
                <w:color w:val="000000"/>
                <w:szCs w:val="20"/>
                <w:lang w:val="fr-BE" w:eastAsia="fr-BE"/>
              </w:rPr>
              <w:t>)</w:t>
            </w:r>
          </w:p>
        </w:tc>
        <w:tc>
          <w:tcPr>
            <w:tcW w:w="3119" w:type="dxa"/>
            <w:vAlign w:val="center"/>
            <w:hideMark/>
          </w:tcPr>
          <w:p w14:paraId="2D908F24"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Remise les livrables dans des formats modifiables et interopérables telle que mentionnée dans l'AAE</w:t>
            </w:r>
          </w:p>
        </w:tc>
        <w:tc>
          <w:tcPr>
            <w:tcW w:w="3119" w:type="dxa"/>
            <w:vAlign w:val="center"/>
            <w:hideMark/>
          </w:tcPr>
          <w:p w14:paraId="1DD01B4B"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300 € par livrable non conforme au format spécifié</w:t>
            </w:r>
          </w:p>
        </w:tc>
      </w:tr>
      <w:tr w:rsidR="00797E61" w:rsidRPr="00797E61" w14:paraId="3E53298D" w14:textId="77777777" w:rsidTr="00797E61">
        <w:trPr>
          <w:trHeight w:val="880"/>
        </w:trPr>
        <w:tc>
          <w:tcPr>
            <w:tcW w:w="851" w:type="dxa"/>
            <w:noWrap/>
            <w:vAlign w:val="center"/>
            <w:hideMark/>
          </w:tcPr>
          <w:p w14:paraId="316A5268"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lastRenderedPageBreak/>
              <w:t>UO1</w:t>
            </w:r>
          </w:p>
        </w:tc>
        <w:tc>
          <w:tcPr>
            <w:tcW w:w="3539" w:type="dxa"/>
            <w:vAlign w:val="center"/>
            <w:hideMark/>
          </w:tcPr>
          <w:p w14:paraId="56E82FF4"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de pilotage et de rendu</w:t>
            </w:r>
          </w:p>
        </w:tc>
        <w:tc>
          <w:tcPr>
            <w:tcW w:w="3119" w:type="dxa"/>
            <w:noWrap/>
            <w:vAlign w:val="center"/>
            <w:hideMark/>
          </w:tcPr>
          <w:p w14:paraId="24848B1E"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Présence aux réunions clés (lancement, restitution, suivi)</w:t>
            </w:r>
          </w:p>
        </w:tc>
        <w:tc>
          <w:tcPr>
            <w:tcW w:w="3119" w:type="dxa"/>
            <w:vAlign w:val="center"/>
            <w:hideMark/>
          </w:tcPr>
          <w:p w14:paraId="0BD9D1D2"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par absence non justifiée à une réunion obligatoire</w:t>
            </w:r>
          </w:p>
        </w:tc>
      </w:tr>
      <w:tr w:rsidR="00797E61" w:rsidRPr="00797E61" w14:paraId="092C5D94" w14:textId="77777777" w:rsidTr="00797E61">
        <w:trPr>
          <w:trHeight w:val="870"/>
        </w:trPr>
        <w:tc>
          <w:tcPr>
            <w:tcW w:w="851" w:type="dxa"/>
            <w:noWrap/>
            <w:vAlign w:val="center"/>
            <w:hideMark/>
          </w:tcPr>
          <w:p w14:paraId="176DCBE9"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6A345A45"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de pilotage et de rendu</w:t>
            </w:r>
          </w:p>
        </w:tc>
        <w:tc>
          <w:tcPr>
            <w:tcW w:w="3119" w:type="dxa"/>
            <w:vAlign w:val="center"/>
            <w:hideMark/>
          </w:tcPr>
          <w:p w14:paraId="757804D8"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Présentation orale des conclusions et recommandations en fin de mission.</w:t>
            </w:r>
          </w:p>
        </w:tc>
        <w:tc>
          <w:tcPr>
            <w:tcW w:w="3119" w:type="dxa"/>
            <w:vAlign w:val="center"/>
            <w:hideMark/>
          </w:tcPr>
          <w:p w14:paraId="185ED55F"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en cas d’absence ou présentation jugée non satisfaisante</w:t>
            </w:r>
          </w:p>
        </w:tc>
      </w:tr>
      <w:tr w:rsidR="00797E61" w:rsidRPr="00797E61" w14:paraId="32EEA383" w14:textId="77777777" w:rsidTr="00797E61">
        <w:trPr>
          <w:trHeight w:val="870"/>
        </w:trPr>
        <w:tc>
          <w:tcPr>
            <w:tcW w:w="851" w:type="dxa"/>
            <w:noWrap/>
            <w:vAlign w:val="center"/>
            <w:hideMark/>
          </w:tcPr>
          <w:p w14:paraId="060EB5DC"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7D636A25"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de pilotage et de rendu</w:t>
            </w:r>
          </w:p>
        </w:tc>
        <w:tc>
          <w:tcPr>
            <w:tcW w:w="3119" w:type="dxa"/>
            <w:vAlign w:val="center"/>
            <w:hideMark/>
          </w:tcPr>
          <w:p w14:paraId="69EC1A9B"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Transmission les supports de réunion avant la date prévue de la réunion</w:t>
            </w:r>
          </w:p>
        </w:tc>
        <w:tc>
          <w:tcPr>
            <w:tcW w:w="3119" w:type="dxa"/>
            <w:vAlign w:val="center"/>
            <w:hideMark/>
          </w:tcPr>
          <w:p w14:paraId="21C58E3E"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par jour de retard sans justification</w:t>
            </w:r>
          </w:p>
        </w:tc>
      </w:tr>
      <w:tr w:rsidR="00797E61" w:rsidRPr="00797E61" w14:paraId="5B9B12A3" w14:textId="77777777" w:rsidTr="00797E61">
        <w:trPr>
          <w:trHeight w:val="1160"/>
        </w:trPr>
        <w:tc>
          <w:tcPr>
            <w:tcW w:w="851" w:type="dxa"/>
            <w:noWrap/>
            <w:vAlign w:val="center"/>
            <w:hideMark/>
          </w:tcPr>
          <w:p w14:paraId="08039AE8"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0D5A603F"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de pilotage et de rendu</w:t>
            </w:r>
          </w:p>
        </w:tc>
        <w:tc>
          <w:tcPr>
            <w:tcW w:w="3119" w:type="dxa"/>
            <w:vAlign w:val="center"/>
            <w:hideMark/>
          </w:tcPr>
          <w:p w14:paraId="5F2AF992"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Rédaction d'un compte rendu de chaque réunion après sa tenue</w:t>
            </w:r>
          </w:p>
        </w:tc>
        <w:tc>
          <w:tcPr>
            <w:tcW w:w="3119" w:type="dxa"/>
            <w:vAlign w:val="center"/>
            <w:hideMark/>
          </w:tcPr>
          <w:p w14:paraId="0EB54815"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250 € par compte rendu manquant ou envoyé avec plus de 5 jours ouvrés de retard</w:t>
            </w:r>
          </w:p>
        </w:tc>
      </w:tr>
      <w:tr w:rsidR="00797E61" w:rsidRPr="00797E61" w14:paraId="497EF71C" w14:textId="77777777" w:rsidTr="00797E61">
        <w:trPr>
          <w:trHeight w:val="880"/>
        </w:trPr>
        <w:tc>
          <w:tcPr>
            <w:tcW w:w="851" w:type="dxa"/>
            <w:noWrap/>
            <w:vAlign w:val="center"/>
            <w:hideMark/>
          </w:tcPr>
          <w:p w14:paraId="6726DC37"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Align w:val="center"/>
            <w:hideMark/>
          </w:tcPr>
          <w:p w14:paraId="58DB247D"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Respecter les exigences de pilotage et de rendu</w:t>
            </w:r>
          </w:p>
        </w:tc>
        <w:tc>
          <w:tcPr>
            <w:tcW w:w="3119" w:type="dxa"/>
            <w:vAlign w:val="center"/>
            <w:hideMark/>
          </w:tcPr>
          <w:p w14:paraId="6A13A893"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Respect du délai global de livraison de la notice de réexamen  à compter de l'ordre de service</w:t>
            </w:r>
          </w:p>
        </w:tc>
        <w:tc>
          <w:tcPr>
            <w:tcW w:w="3119" w:type="dxa"/>
            <w:vAlign w:val="center"/>
            <w:hideMark/>
          </w:tcPr>
          <w:p w14:paraId="0F36EF17"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3 % du montant global HT par semaine de retard</w:t>
            </w:r>
          </w:p>
        </w:tc>
      </w:tr>
      <w:tr w:rsidR="00797E61" w:rsidRPr="00797E61" w14:paraId="5B3ABB59" w14:textId="77777777" w:rsidTr="00797E61">
        <w:trPr>
          <w:trHeight w:val="590"/>
        </w:trPr>
        <w:tc>
          <w:tcPr>
            <w:tcW w:w="851" w:type="dxa"/>
            <w:noWrap/>
            <w:vAlign w:val="center"/>
            <w:hideMark/>
          </w:tcPr>
          <w:p w14:paraId="26DAB807"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Merge w:val="restart"/>
            <w:vAlign w:val="center"/>
            <w:hideMark/>
          </w:tcPr>
          <w:p w14:paraId="2FD2A9A1"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Garantir la disponibilité et la gestion des intervenants sur site</w:t>
            </w:r>
          </w:p>
        </w:tc>
        <w:tc>
          <w:tcPr>
            <w:tcW w:w="3119" w:type="dxa"/>
            <w:vAlign w:val="center"/>
            <w:hideMark/>
          </w:tcPr>
          <w:p w14:paraId="3FC24B19"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Taux de disponibilité en réponse aux demandes de présence sur site</w:t>
            </w:r>
          </w:p>
        </w:tc>
        <w:tc>
          <w:tcPr>
            <w:tcW w:w="3119" w:type="dxa"/>
            <w:vAlign w:val="center"/>
            <w:hideMark/>
          </w:tcPr>
          <w:p w14:paraId="1BC7CE1C"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par indisponibilité injustifiée entraînant un report</w:t>
            </w:r>
          </w:p>
        </w:tc>
      </w:tr>
      <w:tr w:rsidR="00797E61" w:rsidRPr="00797E61" w14:paraId="720AF3F2" w14:textId="77777777" w:rsidTr="00797E61">
        <w:trPr>
          <w:trHeight w:val="880"/>
        </w:trPr>
        <w:tc>
          <w:tcPr>
            <w:tcW w:w="851" w:type="dxa"/>
            <w:noWrap/>
            <w:vAlign w:val="center"/>
            <w:hideMark/>
          </w:tcPr>
          <w:p w14:paraId="7732217E" w14:textId="77777777" w:rsidR="00797E61" w:rsidRPr="00797E61" w:rsidRDefault="00797E61" w:rsidP="00797E61">
            <w:pPr>
              <w:spacing w:after="0" w:line="240" w:lineRule="auto"/>
              <w:jc w:val="center"/>
              <w:rPr>
                <w:rFonts w:eastAsia="Times New Roman" w:cs="Arial"/>
                <w:color w:val="000000"/>
                <w:szCs w:val="20"/>
                <w:lang w:val="fr-BE" w:eastAsia="fr-BE"/>
              </w:rPr>
            </w:pPr>
            <w:r w:rsidRPr="00797E61">
              <w:rPr>
                <w:rFonts w:eastAsia="Times New Roman" w:cs="Arial"/>
                <w:color w:val="000000"/>
                <w:szCs w:val="20"/>
                <w:lang w:val="fr-BE" w:eastAsia="fr-BE"/>
              </w:rPr>
              <w:t>UO1</w:t>
            </w:r>
          </w:p>
        </w:tc>
        <w:tc>
          <w:tcPr>
            <w:tcW w:w="3539" w:type="dxa"/>
            <w:vMerge/>
            <w:vAlign w:val="center"/>
            <w:hideMark/>
          </w:tcPr>
          <w:p w14:paraId="593BC8A5" w14:textId="77777777" w:rsidR="00797E61" w:rsidRPr="00797E61" w:rsidRDefault="00797E61" w:rsidP="00797E61">
            <w:pPr>
              <w:spacing w:after="0" w:line="240" w:lineRule="auto"/>
              <w:rPr>
                <w:rFonts w:eastAsia="Times New Roman" w:cs="Arial"/>
                <w:color w:val="000000"/>
                <w:szCs w:val="20"/>
                <w:lang w:val="fr-BE" w:eastAsia="fr-BE"/>
              </w:rPr>
            </w:pPr>
          </w:p>
        </w:tc>
        <w:tc>
          <w:tcPr>
            <w:tcW w:w="3119" w:type="dxa"/>
            <w:vAlign w:val="center"/>
            <w:hideMark/>
          </w:tcPr>
          <w:p w14:paraId="658D551B"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Délai de prévenance avant la présentation de l’intervenant sur site</w:t>
            </w:r>
          </w:p>
        </w:tc>
        <w:tc>
          <w:tcPr>
            <w:tcW w:w="3119" w:type="dxa"/>
            <w:vAlign w:val="center"/>
            <w:hideMark/>
          </w:tcPr>
          <w:p w14:paraId="7A06CD9D" w14:textId="77777777" w:rsidR="00797E61" w:rsidRPr="00797E61" w:rsidRDefault="00797E61" w:rsidP="00797E61">
            <w:pPr>
              <w:spacing w:after="0" w:line="240" w:lineRule="auto"/>
              <w:rPr>
                <w:rFonts w:eastAsia="Times New Roman" w:cs="Arial"/>
                <w:color w:val="000000"/>
                <w:szCs w:val="20"/>
                <w:lang w:val="fr-BE" w:eastAsia="fr-BE"/>
              </w:rPr>
            </w:pPr>
            <w:r w:rsidRPr="00797E61">
              <w:rPr>
                <w:rFonts w:eastAsia="Times New Roman" w:cs="Arial"/>
                <w:color w:val="000000"/>
                <w:szCs w:val="20"/>
                <w:lang w:val="fr-BE" w:eastAsia="fr-BE"/>
              </w:rPr>
              <w:t>200 € par intervention annoncée avec moins de 48h de préavis</w:t>
            </w:r>
          </w:p>
        </w:tc>
      </w:tr>
    </w:tbl>
    <w:p w14:paraId="78E6E265" w14:textId="77777777" w:rsidR="00F92CF0" w:rsidRDefault="00F92CF0" w:rsidP="00397B13">
      <w:pPr>
        <w:jc w:val="both"/>
      </w:pPr>
    </w:p>
    <w:p w14:paraId="20391EAA" w14:textId="540E4C63" w:rsidR="00F92CF0" w:rsidRDefault="00F92CF0" w:rsidP="00797E61">
      <w:pPr>
        <w:ind w:left="-1134"/>
        <w:jc w:val="both"/>
      </w:pPr>
      <w:r>
        <w:t>Les autres manquements non mentionnés dans ce tableau sont également sanctionnés qu’ils proviennent :</w:t>
      </w:r>
    </w:p>
    <w:p w14:paraId="514AB25A" w14:textId="6B6DBB5F" w:rsidR="00F92CF0" w:rsidRDefault="00F92CF0" w:rsidP="00797E61">
      <w:pPr>
        <w:pStyle w:val="Paragraphedeliste"/>
        <w:ind w:left="-1134"/>
      </w:pPr>
      <w:r>
        <w:t>De manquements au CCTP</w:t>
      </w:r>
    </w:p>
    <w:p w14:paraId="6A8AE514" w14:textId="62B7AE31" w:rsidR="00F92CF0" w:rsidRDefault="00F92CF0" w:rsidP="00797E61">
      <w:pPr>
        <w:pStyle w:val="Paragraphedeliste"/>
        <w:ind w:left="-1134"/>
      </w:pPr>
      <w:r>
        <w:t>De manquement aux annexes à l’acte d’engagement.</w:t>
      </w:r>
    </w:p>
    <w:p w14:paraId="39010B8F" w14:textId="3F23C51D" w:rsidR="00F92CF0" w:rsidRDefault="00F92CF0" w:rsidP="00797E61">
      <w:pPr>
        <w:ind w:left="-1134"/>
      </w:pPr>
      <w:r>
        <w:t>A hauteur de :</w:t>
      </w:r>
    </w:p>
    <w:tbl>
      <w:tblPr>
        <w:tblStyle w:val="Grilledutableau"/>
        <w:tblW w:w="0" w:type="auto"/>
        <w:tblInd w:w="-431" w:type="dxa"/>
        <w:tblLook w:val="04A0" w:firstRow="1" w:lastRow="0" w:firstColumn="1" w:lastColumn="0" w:noHBand="0" w:noVBand="1"/>
      </w:tblPr>
      <w:tblGrid>
        <w:gridCol w:w="2642"/>
        <w:gridCol w:w="2642"/>
        <w:gridCol w:w="2643"/>
      </w:tblGrid>
      <w:tr w:rsidR="00F92CF0" w14:paraId="7F5C36E2" w14:textId="77777777" w:rsidTr="00797E61">
        <w:tc>
          <w:tcPr>
            <w:tcW w:w="2642" w:type="dxa"/>
            <w:vAlign w:val="center"/>
          </w:tcPr>
          <w:p w14:paraId="5C83EF37" w14:textId="3BB87BB3" w:rsidR="00F92CF0" w:rsidRDefault="00F92CF0" w:rsidP="00797E61">
            <w:pPr>
              <w:jc w:val="center"/>
            </w:pPr>
            <w:r>
              <w:t>Type de manquement</w:t>
            </w:r>
          </w:p>
        </w:tc>
        <w:tc>
          <w:tcPr>
            <w:tcW w:w="2642" w:type="dxa"/>
            <w:vAlign w:val="center"/>
          </w:tcPr>
          <w:p w14:paraId="4C7CF502" w14:textId="7D928E22" w:rsidR="00F92CF0" w:rsidRDefault="00F92CF0" w:rsidP="00797E61">
            <w:pPr>
              <w:jc w:val="center"/>
            </w:pPr>
            <w:r>
              <w:t xml:space="preserve">Avec impact sur le niveau de service </w:t>
            </w:r>
            <w:r w:rsidR="00797E61">
              <w:t>perçu</w:t>
            </w:r>
            <w:r>
              <w:t xml:space="preserve"> par le GPM-Guyane</w:t>
            </w:r>
          </w:p>
        </w:tc>
        <w:tc>
          <w:tcPr>
            <w:tcW w:w="2643" w:type="dxa"/>
            <w:vAlign w:val="center"/>
          </w:tcPr>
          <w:p w14:paraId="70D03A5F" w14:textId="59D3B5DF" w:rsidR="00F92CF0" w:rsidRDefault="00F92CF0" w:rsidP="00797E61">
            <w:pPr>
              <w:jc w:val="center"/>
            </w:pPr>
            <w:r>
              <w:t xml:space="preserve">Sans impact sur le niveau de service </w:t>
            </w:r>
            <w:r w:rsidR="00797E61">
              <w:t>perçu</w:t>
            </w:r>
            <w:r>
              <w:t xml:space="preserve"> par le GPM-Guyane</w:t>
            </w:r>
          </w:p>
        </w:tc>
      </w:tr>
      <w:tr w:rsidR="00F92CF0" w14:paraId="4E8365DA" w14:textId="77777777" w:rsidTr="00797E61">
        <w:tc>
          <w:tcPr>
            <w:tcW w:w="2642" w:type="dxa"/>
            <w:vAlign w:val="center"/>
          </w:tcPr>
          <w:p w14:paraId="0FB27D5B" w14:textId="01CB35B2" w:rsidR="00F92CF0" w:rsidRDefault="00F92CF0" w:rsidP="00797E61">
            <w:pPr>
              <w:jc w:val="center"/>
            </w:pPr>
            <w:r>
              <w:t>Continu</w:t>
            </w:r>
          </w:p>
        </w:tc>
        <w:tc>
          <w:tcPr>
            <w:tcW w:w="2642" w:type="dxa"/>
            <w:vAlign w:val="center"/>
          </w:tcPr>
          <w:p w14:paraId="4D7FCC46" w14:textId="2C587F4D" w:rsidR="00F92CF0" w:rsidRDefault="00F92CF0" w:rsidP="00797E61">
            <w:pPr>
              <w:jc w:val="center"/>
            </w:pPr>
            <w:r>
              <w:t>400 Euros par mois</w:t>
            </w:r>
          </w:p>
        </w:tc>
        <w:tc>
          <w:tcPr>
            <w:tcW w:w="2643" w:type="dxa"/>
            <w:vAlign w:val="center"/>
          </w:tcPr>
          <w:p w14:paraId="3ACC6675" w14:textId="2670EAE5" w:rsidR="00F92CF0" w:rsidRDefault="00F92CF0" w:rsidP="00797E61">
            <w:pPr>
              <w:jc w:val="center"/>
            </w:pPr>
            <w:r>
              <w:t>100 euros par mois</w:t>
            </w:r>
          </w:p>
        </w:tc>
      </w:tr>
      <w:tr w:rsidR="00F92CF0" w14:paraId="72E0A6E1" w14:textId="77777777" w:rsidTr="00797E61">
        <w:tc>
          <w:tcPr>
            <w:tcW w:w="2642" w:type="dxa"/>
            <w:vAlign w:val="center"/>
          </w:tcPr>
          <w:p w14:paraId="21E743C0" w14:textId="1CA96A70" w:rsidR="00F92CF0" w:rsidRDefault="00F92CF0" w:rsidP="00797E61">
            <w:pPr>
              <w:jc w:val="center"/>
            </w:pPr>
            <w:r>
              <w:t>Ponctuel</w:t>
            </w:r>
          </w:p>
        </w:tc>
        <w:tc>
          <w:tcPr>
            <w:tcW w:w="2642" w:type="dxa"/>
            <w:vAlign w:val="center"/>
          </w:tcPr>
          <w:p w14:paraId="401ED146" w14:textId="1849BEB1" w:rsidR="00F92CF0" w:rsidRDefault="00F92CF0" w:rsidP="00797E61">
            <w:pPr>
              <w:jc w:val="center"/>
            </w:pPr>
            <w:r>
              <w:t>100 euros par occurrence</w:t>
            </w:r>
          </w:p>
        </w:tc>
        <w:tc>
          <w:tcPr>
            <w:tcW w:w="2643" w:type="dxa"/>
            <w:vAlign w:val="center"/>
          </w:tcPr>
          <w:p w14:paraId="794F50EE" w14:textId="6E47A7CD" w:rsidR="00F92CF0" w:rsidRDefault="00F92CF0" w:rsidP="00797E61">
            <w:pPr>
              <w:jc w:val="center"/>
            </w:pPr>
            <w:r>
              <w:t>50 euros par occurrence</w:t>
            </w:r>
          </w:p>
        </w:tc>
      </w:tr>
    </w:tbl>
    <w:p w14:paraId="760D775E" w14:textId="77777777" w:rsidR="00F92CF0" w:rsidRDefault="00F92CF0" w:rsidP="00F92CF0"/>
    <w:p w14:paraId="1BEC93DF" w14:textId="5B5F5CCA" w:rsidR="00E14BE0" w:rsidRDefault="00F92CF0" w:rsidP="00394727">
      <w:pPr>
        <w:pStyle w:val="Titre1"/>
        <w:rPr>
          <w:lang w:val="fr-BE"/>
        </w:rPr>
      </w:pPr>
      <w:bookmarkStart w:id="47" w:name="_Toc198637889"/>
      <w:r w:rsidRPr="007D52FC">
        <w:rPr>
          <w:lang w:val="fr-BE"/>
        </w:rPr>
        <w:t>NON-SUBSTITUTION DU PERSONNEL</w:t>
      </w:r>
      <w:bookmarkEnd w:id="47"/>
    </w:p>
    <w:p w14:paraId="34B209EA" w14:textId="77777777" w:rsidR="000B420A" w:rsidRDefault="000B420A" w:rsidP="000B420A">
      <w:pPr>
        <w:ind w:left="-1134"/>
        <w:jc w:val="both"/>
      </w:pPr>
      <w:r w:rsidRPr="000B420A">
        <w:t xml:space="preserve">Le </w:t>
      </w:r>
      <w:r>
        <w:t>candidat</w:t>
      </w:r>
      <w:r w:rsidRPr="000B420A">
        <w:t xml:space="preserve"> s'engage à maintenir, pendant toute la durée du marché, les intervenants désignés dans son offre et ayant participé à la phase de démarrage du projet. Toute demande de remplacement d’un membre de l’équipe affectée au marché devra faire l’objet d’une information préalable et motivée auprès du pouvoir adjudicateur. Ce remplacement ne pourra intervenir qu’avec l’accord exprès de ce dernier, après présentation d’un profil de compétences équivalentes ou supérieures.</w:t>
      </w:r>
    </w:p>
    <w:p w14:paraId="3BCEC93E" w14:textId="77777777" w:rsidR="000B420A" w:rsidRDefault="000B420A" w:rsidP="000B420A">
      <w:pPr>
        <w:ind w:left="-1134"/>
        <w:jc w:val="both"/>
      </w:pPr>
      <w:r w:rsidRPr="000B420A">
        <w:t xml:space="preserve">Le </w:t>
      </w:r>
      <w:r>
        <w:t>candidat</w:t>
      </w:r>
      <w:r w:rsidRPr="000B420A">
        <w:t xml:space="preserve"> devra assurer une transmission complète des informations et garantir la continuité de service sans surcoût pour l’acheteur. </w:t>
      </w:r>
    </w:p>
    <w:p w14:paraId="182A27BD" w14:textId="5E1A8E37" w:rsidR="00E14BE0" w:rsidRDefault="000B420A" w:rsidP="000B420A">
      <w:pPr>
        <w:ind w:left="-1134"/>
        <w:jc w:val="both"/>
      </w:pPr>
      <w:r w:rsidRPr="000B420A">
        <w:lastRenderedPageBreak/>
        <w:t>En cas de non-respect de cette clause, des pénalités pourront être appliquées, notamment si le remplacement affecte le bon déroulement de la mission.</w:t>
      </w:r>
    </w:p>
    <w:p w14:paraId="28BF60E4" w14:textId="08BEE80E" w:rsidR="00DB4605" w:rsidRPr="00F16C11" w:rsidRDefault="001C7D3A" w:rsidP="00DB4605">
      <w:pPr>
        <w:pStyle w:val="Titre1"/>
      </w:pPr>
      <w:bookmarkStart w:id="48" w:name="_Toc197951277"/>
      <w:bookmarkStart w:id="49" w:name="_Toc198637890"/>
      <w:r w:rsidRPr="00F16C11">
        <w:t>PRIX</w:t>
      </w:r>
      <w:bookmarkEnd w:id="48"/>
      <w:bookmarkEnd w:id="49"/>
    </w:p>
    <w:p w14:paraId="50F4DDD9" w14:textId="77777777" w:rsidR="00DB4605" w:rsidRPr="00DB4605" w:rsidRDefault="00DB4605" w:rsidP="00DB4605">
      <w:pPr>
        <w:ind w:left="-1134"/>
        <w:jc w:val="both"/>
      </w:pPr>
      <w:r w:rsidRPr="00DB4605">
        <w:t>Le prix est forfaitaire, ferme et d</w:t>
      </w:r>
      <w:r w:rsidRPr="00DB4605">
        <w:rPr>
          <w:rFonts w:hint="cs"/>
        </w:rPr>
        <w:t>é</w:t>
      </w:r>
      <w:r w:rsidRPr="00DB4605">
        <w:t>finitif, et inclura l</w:t>
      </w:r>
      <w:r w:rsidRPr="00DB4605">
        <w:rPr>
          <w:rFonts w:hint="cs"/>
        </w:rPr>
        <w:t>’</w:t>
      </w:r>
      <w:r w:rsidRPr="00DB4605">
        <w:t>ensemble de la prestation telle que d</w:t>
      </w:r>
      <w:r w:rsidRPr="00DB4605">
        <w:rPr>
          <w:rFonts w:hint="cs"/>
        </w:rPr>
        <w:t>é</w:t>
      </w:r>
      <w:r w:rsidRPr="00DB4605">
        <w:t>finie dans le devis en conformit</w:t>
      </w:r>
      <w:r w:rsidRPr="00DB4605">
        <w:rPr>
          <w:rFonts w:hint="cs"/>
        </w:rPr>
        <w:t>é</w:t>
      </w:r>
      <w:r w:rsidRPr="00DB4605">
        <w:t xml:space="preserve"> avec ce pr</w:t>
      </w:r>
      <w:r w:rsidRPr="00DB4605">
        <w:rPr>
          <w:rFonts w:hint="cs"/>
        </w:rPr>
        <w:t>é</w:t>
      </w:r>
      <w:r w:rsidRPr="00DB4605">
        <w:t>sent cahier des charges.</w:t>
      </w:r>
    </w:p>
    <w:p w14:paraId="5CEFB18F" w14:textId="77777777" w:rsidR="00DB4605" w:rsidRPr="00DB4605" w:rsidRDefault="00DB4605" w:rsidP="00DB4605">
      <w:pPr>
        <w:ind w:left="-1134"/>
        <w:jc w:val="both"/>
      </w:pPr>
      <w:r w:rsidRPr="00DB4605">
        <w:t>Le prestataire ne pourra arguer de l</w:t>
      </w:r>
      <w:r w:rsidRPr="00DB4605">
        <w:rPr>
          <w:rFonts w:hint="cs"/>
        </w:rPr>
        <w:t>’é</w:t>
      </w:r>
      <w:r w:rsidRPr="00DB4605">
        <w:t>tendue de la mission (par exemple du temps n</w:t>
      </w:r>
      <w:r w:rsidRPr="00DB4605">
        <w:rPr>
          <w:rFonts w:hint="cs"/>
        </w:rPr>
        <w:t>é</w:t>
      </w:r>
      <w:r w:rsidRPr="00DB4605">
        <w:t xml:space="preserve">cessaire </w:t>
      </w:r>
      <w:r w:rsidRPr="00DB4605">
        <w:rPr>
          <w:rFonts w:hint="cs"/>
        </w:rPr>
        <w:t>à</w:t>
      </w:r>
      <w:r w:rsidRPr="00DB4605">
        <w:t xml:space="preserve"> la collecte de donn</w:t>
      </w:r>
      <w:r w:rsidRPr="00DB4605">
        <w:rPr>
          <w:rFonts w:hint="cs"/>
        </w:rPr>
        <w:t>é</w:t>
      </w:r>
      <w:r w:rsidRPr="00DB4605">
        <w:t xml:space="preserve">es, </w:t>
      </w:r>
      <w:r w:rsidRPr="00DB4605">
        <w:rPr>
          <w:rFonts w:hint="cs"/>
        </w:rPr>
        <w:t>à</w:t>
      </w:r>
      <w:r w:rsidRPr="00DB4605">
        <w:t xml:space="preserve"> la sensibilisation, </w:t>
      </w:r>
      <w:r w:rsidRPr="00DB4605">
        <w:rPr>
          <w:rFonts w:hint="cs"/>
        </w:rPr>
        <w:t>à</w:t>
      </w:r>
      <w:r w:rsidRPr="00DB4605">
        <w:t xml:space="preserve"> l</w:t>
      </w:r>
      <w:r w:rsidRPr="00DB4605">
        <w:rPr>
          <w:rFonts w:hint="cs"/>
        </w:rPr>
        <w:t>’é</w:t>
      </w:r>
      <w:r w:rsidRPr="00DB4605">
        <w:t>tude de th</w:t>
      </w:r>
      <w:r w:rsidRPr="00DB4605">
        <w:rPr>
          <w:rFonts w:hint="cs"/>
        </w:rPr>
        <w:t>é</w:t>
      </w:r>
      <w:r w:rsidRPr="00DB4605">
        <w:t xml:space="preserve">matiques ou </w:t>
      </w:r>
      <w:r w:rsidRPr="00DB4605">
        <w:rPr>
          <w:rFonts w:hint="cs"/>
        </w:rPr>
        <w:t>à</w:t>
      </w:r>
      <w:r w:rsidRPr="00DB4605">
        <w:t xml:space="preserve"> la restitution des r</w:t>
      </w:r>
      <w:r w:rsidRPr="00DB4605">
        <w:rPr>
          <w:rFonts w:hint="cs"/>
        </w:rPr>
        <w:t>é</w:t>
      </w:r>
      <w:r w:rsidRPr="00DB4605">
        <w:t>sultats</w:t>
      </w:r>
      <w:r w:rsidRPr="00DB4605">
        <w:rPr>
          <w:rFonts w:hint="cs"/>
        </w:rPr>
        <w:t>…</w:t>
      </w:r>
      <w:r w:rsidRPr="00DB4605">
        <w:t>) pour faire varier le montant de sa prestation une fois le march</w:t>
      </w:r>
      <w:r w:rsidRPr="00DB4605">
        <w:rPr>
          <w:rFonts w:hint="cs"/>
        </w:rPr>
        <w:t>é</w:t>
      </w:r>
      <w:r w:rsidRPr="00DB4605">
        <w:t xml:space="preserve"> sign</w:t>
      </w:r>
      <w:r w:rsidRPr="00DB4605">
        <w:rPr>
          <w:rFonts w:hint="cs"/>
        </w:rPr>
        <w:t>é</w:t>
      </w:r>
      <w:r w:rsidRPr="00DB4605">
        <w:t>.</w:t>
      </w:r>
    </w:p>
    <w:p w14:paraId="1CD1693F" w14:textId="016C59B1" w:rsidR="00DB4605" w:rsidRDefault="00DB4605" w:rsidP="00DB4605">
      <w:pPr>
        <w:ind w:left="-1134"/>
        <w:jc w:val="both"/>
      </w:pPr>
      <w:r w:rsidRPr="00DB4605">
        <w:t>Le prestataire ne pourra arguer de l</w:t>
      </w:r>
      <w:r w:rsidRPr="00DB4605">
        <w:rPr>
          <w:rFonts w:hint="cs"/>
        </w:rPr>
        <w:t>’é</w:t>
      </w:r>
      <w:r w:rsidRPr="00DB4605">
        <w:t>tendue de la mission (par exemple du temps n</w:t>
      </w:r>
      <w:r w:rsidRPr="00DB4605">
        <w:rPr>
          <w:rFonts w:hint="cs"/>
        </w:rPr>
        <w:t>é</w:t>
      </w:r>
      <w:r w:rsidRPr="00DB4605">
        <w:t xml:space="preserve">cessaire </w:t>
      </w:r>
      <w:r w:rsidRPr="00DB4605">
        <w:rPr>
          <w:rFonts w:hint="cs"/>
        </w:rPr>
        <w:t>à</w:t>
      </w:r>
      <w:r w:rsidRPr="00DB4605">
        <w:t xml:space="preserve"> la collecte de donn</w:t>
      </w:r>
      <w:r w:rsidRPr="00DB4605">
        <w:rPr>
          <w:rFonts w:hint="cs"/>
        </w:rPr>
        <w:t>é</w:t>
      </w:r>
      <w:r w:rsidRPr="00DB4605">
        <w:t xml:space="preserve">es, </w:t>
      </w:r>
      <w:r w:rsidRPr="00DB4605">
        <w:rPr>
          <w:rFonts w:hint="cs"/>
        </w:rPr>
        <w:t>à</w:t>
      </w:r>
      <w:r w:rsidRPr="00DB4605">
        <w:t xml:space="preserve"> la sensibilisation, </w:t>
      </w:r>
      <w:r w:rsidRPr="00DB4605">
        <w:rPr>
          <w:rFonts w:hint="cs"/>
        </w:rPr>
        <w:t>à</w:t>
      </w:r>
      <w:r w:rsidRPr="00DB4605">
        <w:t xml:space="preserve"> l</w:t>
      </w:r>
      <w:r w:rsidRPr="00DB4605">
        <w:rPr>
          <w:rFonts w:hint="cs"/>
        </w:rPr>
        <w:t>’é</w:t>
      </w:r>
      <w:r w:rsidRPr="00DB4605">
        <w:t>tude de th</w:t>
      </w:r>
      <w:r w:rsidRPr="00DB4605">
        <w:rPr>
          <w:rFonts w:hint="cs"/>
        </w:rPr>
        <w:t>é</w:t>
      </w:r>
      <w:r w:rsidRPr="00DB4605">
        <w:t xml:space="preserve">matiques ou </w:t>
      </w:r>
      <w:r w:rsidRPr="00DB4605">
        <w:rPr>
          <w:rFonts w:hint="cs"/>
        </w:rPr>
        <w:t>à</w:t>
      </w:r>
      <w:r w:rsidRPr="00DB4605">
        <w:t xml:space="preserve"> la restitution des r</w:t>
      </w:r>
      <w:r w:rsidRPr="00DB4605">
        <w:rPr>
          <w:rFonts w:hint="cs"/>
        </w:rPr>
        <w:t>é</w:t>
      </w:r>
      <w:r w:rsidRPr="00DB4605">
        <w:t>sultats</w:t>
      </w:r>
      <w:r w:rsidRPr="00DB4605">
        <w:rPr>
          <w:rFonts w:hint="cs"/>
        </w:rPr>
        <w:t>…</w:t>
      </w:r>
      <w:r w:rsidRPr="00DB4605">
        <w:t>) pour faire varier le montant de sa prestation une fois le march</w:t>
      </w:r>
      <w:r w:rsidRPr="00DB4605">
        <w:rPr>
          <w:rFonts w:hint="cs"/>
        </w:rPr>
        <w:t>é</w:t>
      </w:r>
      <w:r w:rsidRPr="00DB4605">
        <w:t xml:space="preserve"> sign</w:t>
      </w:r>
      <w:r w:rsidRPr="00DB4605">
        <w:rPr>
          <w:rFonts w:hint="cs"/>
        </w:rPr>
        <w:t>é</w:t>
      </w:r>
      <w:r w:rsidRPr="00DB4605">
        <w:t>.</w:t>
      </w:r>
    </w:p>
    <w:p w14:paraId="594A3F11" w14:textId="3BCD94EC" w:rsidR="006440B8" w:rsidRDefault="00F92CF0" w:rsidP="00394727">
      <w:pPr>
        <w:pStyle w:val="Titre1"/>
        <w:rPr>
          <w:rFonts w:eastAsiaTheme="minorHAnsi"/>
          <w:lang w:val="fr-BE"/>
        </w:rPr>
      </w:pPr>
      <w:bookmarkStart w:id="50" w:name="_Toc198637892"/>
      <w:r w:rsidRPr="006440B8">
        <w:rPr>
          <w:rFonts w:eastAsiaTheme="minorHAnsi"/>
          <w:lang w:val="fr-BE"/>
        </w:rPr>
        <w:t>DÉLAIS D’EXÉCUTION</w:t>
      </w:r>
      <w:bookmarkEnd w:id="50"/>
    </w:p>
    <w:p w14:paraId="60D41B16" w14:textId="4A98FA0B" w:rsidR="002B77DB" w:rsidRPr="002B77DB" w:rsidRDefault="002B77DB" w:rsidP="002B77DB">
      <w:pPr>
        <w:ind w:left="-1134"/>
        <w:jc w:val="both"/>
        <w:rPr>
          <w:lang w:val="fr-BE"/>
        </w:rPr>
      </w:pPr>
      <w:r w:rsidRPr="002B77DB">
        <w:rPr>
          <w:lang w:val="fr-BE"/>
        </w:rPr>
        <w:t>Le délai global d’exécution des prestations est fixé à trois mois calendaires à compter de la date de notification du bon de commande.</w:t>
      </w:r>
      <w:r>
        <w:rPr>
          <w:lang w:val="fr-BE"/>
        </w:rPr>
        <w:t xml:space="preserve"> </w:t>
      </w:r>
      <w:r w:rsidRPr="002B77DB">
        <w:rPr>
          <w:lang w:val="fr-BE"/>
        </w:rPr>
        <w:t>Ce délai s’applique à l’ensemble des phases du réexamen quinquennal de l’étude de dangers, tel que défini dans le CCTP.</w:t>
      </w:r>
    </w:p>
    <w:p w14:paraId="10AED221" w14:textId="77777777" w:rsidR="002B77DB" w:rsidRDefault="002B77DB" w:rsidP="002B77DB">
      <w:pPr>
        <w:ind w:left="-1134"/>
        <w:jc w:val="both"/>
        <w:rPr>
          <w:lang w:val="fr-BE"/>
        </w:rPr>
      </w:pPr>
      <w:r w:rsidRPr="002B77DB">
        <w:rPr>
          <w:lang w:val="fr-BE"/>
        </w:rPr>
        <w:t>Le titulaire proposera un planning détaillé à l’issue de la réunion de lancement. Ce planning devra être validé par le pouvoir adjudicateur avant le démarrage effectif de la mission.</w:t>
      </w:r>
      <w:r>
        <w:rPr>
          <w:lang w:val="fr-BE"/>
        </w:rPr>
        <w:t xml:space="preserve"> </w:t>
      </w:r>
      <w:r w:rsidRPr="002B77DB">
        <w:rPr>
          <w:lang w:val="fr-BE"/>
        </w:rPr>
        <w:t xml:space="preserve">Le titulaire s’engage à respecter strictement ce planning. </w:t>
      </w:r>
    </w:p>
    <w:p w14:paraId="03E5952B" w14:textId="52BBFB91" w:rsidR="00141473" w:rsidRDefault="002B77DB" w:rsidP="002B77DB">
      <w:pPr>
        <w:ind w:left="-1134"/>
        <w:jc w:val="both"/>
        <w:rPr>
          <w:lang w:val="fr-BE"/>
        </w:rPr>
      </w:pPr>
      <w:r w:rsidRPr="002B77DB">
        <w:rPr>
          <w:lang w:val="fr-BE"/>
        </w:rPr>
        <w:t>Toute modification devra faire l’objet d’une demande écrite, dûment motivée, et d’une validation préalable du pouvoir adjudicateur.</w:t>
      </w:r>
    </w:p>
    <w:p w14:paraId="497767F6" w14:textId="77777777" w:rsidR="002B77DB" w:rsidRPr="002B77DB" w:rsidRDefault="002B77DB" w:rsidP="002B77DB">
      <w:pPr>
        <w:pStyle w:val="Titre1"/>
        <w:rPr>
          <w:rFonts w:eastAsiaTheme="minorHAnsi"/>
          <w:lang w:val="fr-BE"/>
        </w:rPr>
      </w:pPr>
      <w:bookmarkStart w:id="51" w:name="_Toc198637893"/>
      <w:r w:rsidRPr="002B77DB">
        <w:rPr>
          <w:rFonts w:eastAsiaTheme="minorHAnsi"/>
          <w:lang w:val="fr-BE"/>
        </w:rPr>
        <w:t>LIVRAISON DES LIVRABLES</w:t>
      </w:r>
      <w:bookmarkEnd w:id="51"/>
    </w:p>
    <w:p w14:paraId="36D04EE4" w14:textId="77777777" w:rsidR="002B77DB" w:rsidRDefault="002B77DB" w:rsidP="002B77DB">
      <w:pPr>
        <w:ind w:left="-1134"/>
        <w:jc w:val="both"/>
        <w:rPr>
          <w:lang w:val="fr-BE"/>
        </w:rPr>
      </w:pPr>
      <w:r w:rsidRPr="002B77DB">
        <w:rPr>
          <w:lang w:val="fr-BE"/>
        </w:rPr>
        <w:t>Les livrables devront être remis exclusivement sous forme dématérialisée, aux formats modifiables (Word, Excel) et interopérables, conformément aux prescriptions techniques du CCTP.</w:t>
      </w:r>
      <w:r>
        <w:rPr>
          <w:lang w:val="fr-BE"/>
        </w:rPr>
        <w:t xml:space="preserve"> </w:t>
      </w:r>
      <w:r w:rsidRPr="002B77DB">
        <w:rPr>
          <w:lang w:val="fr-BE"/>
        </w:rPr>
        <w:t>Aucun livrable ne sera accepté sous format figé sans version modifiable associée.</w:t>
      </w:r>
    </w:p>
    <w:p w14:paraId="04DC2A14" w14:textId="38B29A25" w:rsidR="002B77DB" w:rsidRPr="002B77DB" w:rsidRDefault="002B77DB" w:rsidP="002B77DB">
      <w:pPr>
        <w:ind w:left="-1134"/>
        <w:jc w:val="both"/>
        <w:rPr>
          <w:lang w:val="fr-BE"/>
        </w:rPr>
      </w:pPr>
      <w:r w:rsidRPr="002B77DB">
        <w:rPr>
          <w:lang w:val="fr-BE"/>
        </w:rPr>
        <w:t>Le pouvoir adjudicateur se réserve le droit de refuser un livrable non conforme à ces exigences.</w:t>
      </w:r>
    </w:p>
    <w:p w14:paraId="10CD682E" w14:textId="7D220A4C" w:rsidR="002B77DB" w:rsidRPr="002B77DB" w:rsidRDefault="002B77DB" w:rsidP="000E0BAA">
      <w:pPr>
        <w:pStyle w:val="Titre1"/>
        <w:rPr>
          <w:lang w:val="fr-BE"/>
        </w:rPr>
      </w:pPr>
      <w:bookmarkStart w:id="52" w:name="_Toc198637894"/>
      <w:r w:rsidRPr="002B77DB">
        <w:rPr>
          <w:lang w:val="fr-BE"/>
        </w:rPr>
        <w:t>GARANTIE TECHNIQUE ET RESPONSABILITÉ POSTÉRIEURE</w:t>
      </w:r>
      <w:bookmarkEnd w:id="52"/>
    </w:p>
    <w:p w14:paraId="68832C31" w14:textId="1EE36762" w:rsidR="002B77DB" w:rsidRDefault="002B77DB" w:rsidP="000E0BAA">
      <w:pPr>
        <w:ind w:left="-1134"/>
        <w:jc w:val="both"/>
        <w:rPr>
          <w:lang w:val="fr-BE"/>
        </w:rPr>
      </w:pPr>
      <w:r w:rsidRPr="002B77DB">
        <w:rPr>
          <w:lang w:val="fr-BE"/>
        </w:rPr>
        <w:t>Étant donné la nature réglementaire et ponctuelle de la mission, aucune garantie technique ne s’applique au-delà de la réception définitive.</w:t>
      </w:r>
      <w:r w:rsidR="000E0BAA">
        <w:rPr>
          <w:lang w:val="fr-BE"/>
        </w:rPr>
        <w:t xml:space="preserve"> </w:t>
      </w:r>
      <w:r w:rsidRPr="002B77DB">
        <w:rPr>
          <w:lang w:val="fr-BE"/>
        </w:rPr>
        <w:t xml:space="preserve">La responsabilité du titulaire demeure toutefois engagée en cas de faute professionnelle, de non-conformité manifeste, ou d’omission </w:t>
      </w:r>
      <w:proofErr w:type="gramStart"/>
      <w:r w:rsidRPr="002B77DB">
        <w:rPr>
          <w:lang w:val="fr-BE"/>
        </w:rPr>
        <w:t>ayant</w:t>
      </w:r>
      <w:proofErr w:type="gramEnd"/>
      <w:r w:rsidRPr="002B77DB">
        <w:rPr>
          <w:lang w:val="fr-BE"/>
        </w:rPr>
        <w:t xml:space="preserve"> des conséquences sur la validité du dossier remis à l’administration.</w:t>
      </w:r>
    </w:p>
    <w:p w14:paraId="2707037A" w14:textId="77777777" w:rsidR="000E0BAA" w:rsidRPr="002B77DB" w:rsidRDefault="000E0BAA" w:rsidP="000E0BAA">
      <w:pPr>
        <w:pStyle w:val="Titre1"/>
        <w:rPr>
          <w:lang w:val="fr-BE"/>
        </w:rPr>
      </w:pPr>
      <w:bookmarkStart w:id="53" w:name="_Toc198637895"/>
      <w:r w:rsidRPr="002B77DB">
        <w:rPr>
          <w:lang w:val="fr-BE"/>
        </w:rPr>
        <w:t>PROPRIÉTÉ INTELLECTUELLE DES LIVRABLES</w:t>
      </w:r>
      <w:bookmarkEnd w:id="53"/>
    </w:p>
    <w:p w14:paraId="22B05799" w14:textId="77777777" w:rsidR="000E0BAA" w:rsidRDefault="000E0BAA" w:rsidP="000E0BAA">
      <w:pPr>
        <w:ind w:left="-1134"/>
        <w:jc w:val="both"/>
        <w:rPr>
          <w:lang w:val="fr-BE"/>
        </w:rPr>
      </w:pPr>
      <w:r w:rsidRPr="002B77DB">
        <w:rPr>
          <w:lang w:val="fr-BE"/>
        </w:rPr>
        <w:t>Tous les résultats produits dans le cadre du marché, y compris les documents de travail, bilans, notices, matrices de risques, graphiques, et tout support associé, sont la propriété pleine et entière du pouvoir adjudicateur.</w:t>
      </w:r>
      <w:r w:rsidRPr="002B77DB">
        <w:rPr>
          <w:lang w:val="fr-BE"/>
        </w:rPr>
        <w:br/>
      </w:r>
      <w:r w:rsidRPr="002B77DB">
        <w:rPr>
          <w:lang w:val="fr-BE"/>
        </w:rPr>
        <w:lastRenderedPageBreak/>
        <w:t>Le titulaire cède à titre exclusif, définitif et gratuit, l’ensemble des droits patrimoniaux relatifs aux livrables remis, sans limitation de durée ni de territoire.</w:t>
      </w:r>
    </w:p>
    <w:p w14:paraId="56D791F3" w14:textId="621D3DDB" w:rsidR="000E0BAA" w:rsidRPr="006440B8" w:rsidRDefault="000E0BAA" w:rsidP="000E0BAA">
      <w:pPr>
        <w:ind w:left="-1134"/>
        <w:jc w:val="both"/>
        <w:rPr>
          <w:lang w:val="fr-BE"/>
        </w:rPr>
      </w:pPr>
      <w:r w:rsidRPr="002B77DB">
        <w:rPr>
          <w:lang w:val="fr-BE"/>
        </w:rPr>
        <w:t>Aucun usage ultérieur, même partiel, ne pourra être effectué sans l’accord exprès du pouvoir adjudicateur.</w:t>
      </w:r>
    </w:p>
    <w:p w14:paraId="5A6B2286" w14:textId="14DFF072" w:rsidR="005211F3" w:rsidRPr="00BB0C87" w:rsidRDefault="005211F3" w:rsidP="00394727">
      <w:pPr>
        <w:pStyle w:val="Titre1"/>
      </w:pPr>
      <w:bookmarkStart w:id="54" w:name="_Toc161406961"/>
      <w:bookmarkStart w:id="55" w:name="_Toc198637896"/>
      <w:r w:rsidRPr="00BD48F4">
        <w:t>DIFFERENDS ET LITIGES</w:t>
      </w:r>
      <w:bookmarkEnd w:id="54"/>
      <w:bookmarkEnd w:id="55"/>
      <w:r w:rsidRPr="00BD48F4">
        <w:t xml:space="preserve"> </w:t>
      </w:r>
    </w:p>
    <w:p w14:paraId="5B185B8D" w14:textId="77777777" w:rsidR="005211F3" w:rsidRPr="00BD48F4" w:rsidRDefault="005211F3" w:rsidP="005211F3">
      <w:pPr>
        <w:ind w:left="-1134"/>
        <w:jc w:val="both"/>
      </w:pPr>
      <w:r w:rsidRPr="00BD48F4">
        <w:t xml:space="preserve">En cas de contentieux, le tribunal compétent sera le </w:t>
      </w:r>
      <w:r w:rsidRPr="00BB0C87">
        <w:rPr>
          <w:b/>
          <w:bCs/>
        </w:rPr>
        <w:t>Tribunal administratif de Cayenne</w:t>
      </w:r>
      <w:r>
        <w:t>.</w:t>
      </w:r>
    </w:p>
    <w:p w14:paraId="22A0B931" w14:textId="77777777" w:rsidR="00E752CB" w:rsidRDefault="00E752CB" w:rsidP="00E752CB">
      <w:pPr>
        <w:spacing w:after="0" w:line="480" w:lineRule="auto"/>
        <w:ind w:left="-1134"/>
        <w:jc w:val="center"/>
      </w:pPr>
      <w:r w:rsidRPr="006972E7">
        <w:t>7, rue Schoelcher, B.P. 5030, 97305</w:t>
      </w:r>
    </w:p>
    <w:p w14:paraId="310AC55D" w14:textId="22B8B266" w:rsidR="005211F3" w:rsidRPr="00E752CB" w:rsidRDefault="00E752CB" w:rsidP="00E752CB">
      <w:pPr>
        <w:spacing w:after="0" w:line="480" w:lineRule="auto"/>
        <w:ind w:left="-1134"/>
        <w:jc w:val="center"/>
      </w:pPr>
      <w:r w:rsidRPr="006972E7">
        <w:t>Cayenne Cedex</w:t>
      </w:r>
      <w:r w:rsidRPr="006972E7">
        <w:br/>
        <w:t>05 94 25 49 70</w:t>
      </w:r>
      <w:r w:rsidRPr="006972E7">
        <w:br/>
      </w:r>
      <w:hyperlink r:id="rId9" w:history="1">
        <w:r w:rsidRPr="006972E7">
          <w:t>greffe.ta-cayenne@juradm.fr</w:t>
        </w:r>
      </w:hyperlink>
    </w:p>
    <w:p w14:paraId="2EAF69C1" w14:textId="5746A677" w:rsidR="00791AA5" w:rsidRPr="002B59C6" w:rsidRDefault="00791AA5" w:rsidP="000E0BAA">
      <w:pPr>
        <w:pStyle w:val="Titre1"/>
        <w:spacing w:before="0"/>
        <w:rPr>
          <w:lang w:val="fr-BE"/>
        </w:rPr>
      </w:pPr>
      <w:bookmarkStart w:id="56" w:name="_Toc198637897"/>
      <w:r w:rsidRPr="007D52FC">
        <w:rPr>
          <w:lang w:val="fr-BE"/>
        </w:rPr>
        <w:t>Dérogation</w:t>
      </w:r>
      <w:r w:rsidR="00A86924" w:rsidRPr="007D52FC">
        <w:rPr>
          <w:lang w:val="fr-BE"/>
        </w:rPr>
        <w:t>s au CCAG</w:t>
      </w:r>
      <w:bookmarkEnd w:id="56"/>
    </w:p>
    <w:p w14:paraId="4B429680" w14:textId="77777777" w:rsidR="00A86924" w:rsidRPr="00A86924" w:rsidRDefault="00A86924" w:rsidP="00A86924">
      <w:pPr>
        <w:spacing w:line="276" w:lineRule="auto"/>
        <w:ind w:left="-1134"/>
        <w:jc w:val="both"/>
        <w:rPr>
          <w:lang w:val="fr-BE"/>
        </w:rPr>
      </w:pPr>
      <w:r w:rsidRPr="00A86924">
        <w:rPr>
          <w:lang w:val="fr-BE"/>
        </w:rPr>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5F3D9CEF" w14:textId="77777777" w:rsidR="00A86924" w:rsidRDefault="00A86924" w:rsidP="00A86924">
      <w:pPr>
        <w:spacing w:line="276" w:lineRule="auto"/>
        <w:ind w:left="-1134"/>
        <w:jc w:val="both"/>
        <w:rPr>
          <w:lang w:val="fr-BE"/>
        </w:rPr>
      </w:pPr>
      <w:r w:rsidRPr="00A86924">
        <w:rPr>
          <w:lang w:val="fr-BE"/>
        </w:rPr>
        <w:t>Ces dérogations, dûment justifiées, prévalent sur les clauses du CCAG dans la mesure où elles sont expressément mentionnées dans le présent Cahier des Clauses Administratives Particulières (CCAP).</w:t>
      </w:r>
      <w:r w:rsidRPr="00A86924">
        <w:rPr>
          <w:lang w:val="fr-BE"/>
        </w:rPr>
        <w:br/>
        <w:t>En l'absence de mention spécifique ou de dérogation dans le tableau, les dispositions du CCAG restent pleinement applicables.</w:t>
      </w:r>
    </w:p>
    <w:p w14:paraId="2B2AE3AB" w14:textId="4E406C75" w:rsidR="00C917B4" w:rsidRDefault="00C917B4" w:rsidP="00C917B4">
      <w:pPr>
        <w:ind w:left="-1134"/>
        <w:rPr>
          <w:lang w:val="fr-BE"/>
        </w:rPr>
      </w:pPr>
      <w:r w:rsidRPr="00422C5A">
        <w:rPr>
          <w:lang w:val="fr-BE"/>
        </w:rPr>
        <w:t>L’article</w:t>
      </w:r>
      <w:r>
        <w:rPr>
          <w:lang w:val="fr-BE"/>
        </w:rPr>
        <w:t xml:space="preserve"> </w:t>
      </w:r>
      <w:r w:rsidR="00002A66">
        <w:rPr>
          <w:lang w:val="fr-BE"/>
        </w:rPr>
        <w:t xml:space="preserve">V </w:t>
      </w:r>
      <w:r w:rsidRPr="00422C5A">
        <w:rPr>
          <w:lang w:val="fr-BE"/>
        </w:rPr>
        <w:t xml:space="preserve">du CCAP déroge à l'article </w:t>
      </w:r>
      <w:r w:rsidR="00141473">
        <w:rPr>
          <w:lang w:val="fr-BE"/>
        </w:rPr>
        <w:t>14</w:t>
      </w:r>
      <w:r>
        <w:rPr>
          <w:lang w:val="fr-BE"/>
        </w:rPr>
        <w:t xml:space="preserve"> </w:t>
      </w:r>
      <w:r w:rsidRPr="00422C5A">
        <w:rPr>
          <w:lang w:val="fr-BE"/>
        </w:rPr>
        <w:t xml:space="preserve">du CCAG </w:t>
      </w:r>
      <w:r>
        <w:rPr>
          <w:lang w:val="fr-BE"/>
        </w:rPr>
        <w:t>Pénalités</w:t>
      </w:r>
      <w:r w:rsidR="00415745">
        <w:rPr>
          <w:lang w:val="fr-BE"/>
        </w:rPr>
        <w:t>.</w:t>
      </w:r>
    </w:p>
    <w:p w14:paraId="4E936156" w14:textId="3637D156" w:rsidR="00DB4605" w:rsidRDefault="00DB4605" w:rsidP="00DB4605">
      <w:pPr>
        <w:ind w:left="-1134"/>
        <w:rPr>
          <w:lang w:val="fr-BE"/>
        </w:rPr>
      </w:pPr>
      <w:r w:rsidRPr="00422C5A">
        <w:rPr>
          <w:lang w:val="fr-BE"/>
        </w:rPr>
        <w:t>L’article</w:t>
      </w:r>
      <w:r>
        <w:rPr>
          <w:lang w:val="fr-BE"/>
        </w:rPr>
        <w:t xml:space="preserve"> VII </w:t>
      </w:r>
      <w:r w:rsidRPr="00422C5A">
        <w:rPr>
          <w:lang w:val="fr-BE"/>
        </w:rPr>
        <w:t xml:space="preserve">du CCAP déroge à l'article </w:t>
      </w:r>
      <w:r>
        <w:rPr>
          <w:lang w:val="fr-BE"/>
        </w:rPr>
        <w:t xml:space="preserve">10 </w:t>
      </w:r>
      <w:r w:rsidRPr="00422C5A">
        <w:rPr>
          <w:lang w:val="fr-BE"/>
        </w:rPr>
        <w:t xml:space="preserve">du CCAG </w:t>
      </w:r>
      <w:r>
        <w:rPr>
          <w:lang w:val="fr-BE"/>
        </w:rPr>
        <w:t>Prix.</w:t>
      </w:r>
    </w:p>
    <w:p w14:paraId="115D97C0" w14:textId="1D33668B" w:rsidR="00DB4605" w:rsidRDefault="00DB4605" w:rsidP="00FE5DEF">
      <w:pPr>
        <w:ind w:left="-1134"/>
        <w:rPr>
          <w:lang w:val="fr-BE"/>
        </w:rPr>
      </w:pPr>
      <w:r w:rsidRPr="00422C5A">
        <w:rPr>
          <w:lang w:val="fr-BE"/>
        </w:rPr>
        <w:t>L’article</w:t>
      </w:r>
      <w:r>
        <w:rPr>
          <w:lang w:val="fr-BE"/>
        </w:rPr>
        <w:t xml:space="preserve"> VII </w:t>
      </w:r>
      <w:r w:rsidRPr="00422C5A">
        <w:rPr>
          <w:lang w:val="fr-BE"/>
        </w:rPr>
        <w:t xml:space="preserve">du CCAP déroge à l'article </w:t>
      </w:r>
      <w:r>
        <w:rPr>
          <w:lang w:val="fr-BE"/>
        </w:rPr>
        <w:t xml:space="preserve">23 </w:t>
      </w:r>
      <w:r w:rsidRPr="00422C5A">
        <w:rPr>
          <w:lang w:val="fr-BE"/>
        </w:rPr>
        <w:t xml:space="preserve">du CCAG </w:t>
      </w:r>
      <w:r w:rsidR="00FE5DEF" w:rsidRPr="00DB4605">
        <w:rPr>
          <w:lang w:val="fr-BE"/>
        </w:rPr>
        <w:t>Prestations supplémentaires ou modificatives</w:t>
      </w:r>
      <w:r>
        <w:rPr>
          <w:lang w:val="fr-BE"/>
        </w:rPr>
        <w:t>.</w:t>
      </w:r>
    </w:p>
    <w:p w14:paraId="0F44255F" w14:textId="06F0C057" w:rsidR="00141473" w:rsidRDefault="00141473" w:rsidP="00141473">
      <w:pPr>
        <w:ind w:left="-1134"/>
        <w:rPr>
          <w:lang w:val="fr-BE"/>
        </w:rPr>
      </w:pPr>
      <w:r w:rsidRPr="00422C5A">
        <w:rPr>
          <w:lang w:val="fr-BE"/>
        </w:rPr>
        <w:t>L’article</w:t>
      </w:r>
      <w:r>
        <w:rPr>
          <w:lang w:val="fr-BE"/>
        </w:rPr>
        <w:t xml:space="preserve"> </w:t>
      </w:r>
      <w:r w:rsidR="001C7D3A">
        <w:rPr>
          <w:lang w:val="fr-BE"/>
        </w:rPr>
        <w:t xml:space="preserve">VIII </w:t>
      </w:r>
      <w:r w:rsidRPr="00422C5A">
        <w:rPr>
          <w:lang w:val="fr-BE"/>
        </w:rPr>
        <w:t xml:space="preserve">du CCAP déroge à l'article </w:t>
      </w:r>
      <w:r w:rsidR="000E0BAA">
        <w:rPr>
          <w:lang w:val="fr-BE"/>
        </w:rPr>
        <w:t>13</w:t>
      </w:r>
      <w:r>
        <w:rPr>
          <w:lang w:val="fr-BE"/>
        </w:rPr>
        <w:t xml:space="preserve"> </w:t>
      </w:r>
      <w:r w:rsidRPr="00422C5A">
        <w:rPr>
          <w:lang w:val="fr-BE"/>
        </w:rPr>
        <w:t xml:space="preserve">du CCAG </w:t>
      </w:r>
      <w:r w:rsidR="000E0BAA">
        <w:rPr>
          <w:lang w:val="fr-BE"/>
        </w:rPr>
        <w:t>Délais d’exécution</w:t>
      </w:r>
      <w:r>
        <w:rPr>
          <w:lang w:val="fr-BE"/>
        </w:rPr>
        <w:t>.</w:t>
      </w:r>
    </w:p>
    <w:p w14:paraId="445A5D8A" w14:textId="5D0F7237" w:rsidR="00141473" w:rsidRDefault="00141473" w:rsidP="00141473">
      <w:pPr>
        <w:ind w:left="-1134"/>
        <w:rPr>
          <w:lang w:val="fr-BE"/>
        </w:rPr>
      </w:pPr>
      <w:r w:rsidRPr="00422C5A">
        <w:rPr>
          <w:lang w:val="fr-BE"/>
        </w:rPr>
        <w:t>L’article</w:t>
      </w:r>
      <w:r>
        <w:rPr>
          <w:lang w:val="fr-BE"/>
        </w:rPr>
        <w:t xml:space="preserve"> </w:t>
      </w:r>
      <w:r w:rsidR="001C7D3A">
        <w:rPr>
          <w:lang w:val="fr-BE"/>
        </w:rPr>
        <w:t>I</w:t>
      </w:r>
      <w:r w:rsidR="00FE5DEF">
        <w:rPr>
          <w:lang w:val="fr-BE"/>
        </w:rPr>
        <w:t xml:space="preserve">X </w:t>
      </w:r>
      <w:r w:rsidRPr="00422C5A">
        <w:rPr>
          <w:lang w:val="fr-BE"/>
        </w:rPr>
        <w:t xml:space="preserve">du CCAP déroge à l'article </w:t>
      </w:r>
      <w:r w:rsidR="00FA41B4">
        <w:rPr>
          <w:lang w:val="fr-BE"/>
        </w:rPr>
        <w:t>21</w:t>
      </w:r>
      <w:r>
        <w:rPr>
          <w:lang w:val="fr-BE"/>
        </w:rPr>
        <w:t xml:space="preserve"> </w:t>
      </w:r>
      <w:r w:rsidRPr="00422C5A">
        <w:rPr>
          <w:lang w:val="fr-BE"/>
        </w:rPr>
        <w:t xml:space="preserve">du CCAG </w:t>
      </w:r>
      <w:r w:rsidR="00FA41B4">
        <w:rPr>
          <w:lang w:val="fr-BE"/>
        </w:rPr>
        <w:t>Livraison</w:t>
      </w:r>
      <w:r>
        <w:rPr>
          <w:lang w:val="fr-BE"/>
        </w:rPr>
        <w:t>.</w:t>
      </w:r>
    </w:p>
    <w:p w14:paraId="59C36188" w14:textId="349D930E" w:rsidR="00141473" w:rsidRDefault="00141473" w:rsidP="00141473">
      <w:pPr>
        <w:ind w:left="-1134"/>
        <w:rPr>
          <w:lang w:val="fr-BE"/>
        </w:rPr>
      </w:pPr>
      <w:r w:rsidRPr="00422C5A">
        <w:rPr>
          <w:lang w:val="fr-BE"/>
        </w:rPr>
        <w:t>L’article</w:t>
      </w:r>
      <w:r>
        <w:rPr>
          <w:lang w:val="fr-BE"/>
        </w:rPr>
        <w:t xml:space="preserve"> </w:t>
      </w:r>
      <w:r w:rsidR="00FE5DEF">
        <w:rPr>
          <w:lang w:val="fr-BE"/>
        </w:rPr>
        <w:t>X</w:t>
      </w:r>
      <w:r>
        <w:rPr>
          <w:lang w:val="fr-BE"/>
        </w:rPr>
        <w:t xml:space="preserve"> </w:t>
      </w:r>
      <w:r w:rsidRPr="00422C5A">
        <w:rPr>
          <w:lang w:val="fr-BE"/>
        </w:rPr>
        <w:t xml:space="preserve">du CCAP déroge à l'article </w:t>
      </w:r>
      <w:r>
        <w:rPr>
          <w:lang w:val="fr-BE"/>
        </w:rPr>
        <w:t>3</w:t>
      </w:r>
      <w:r w:rsidR="00FA41B4">
        <w:rPr>
          <w:lang w:val="fr-BE"/>
        </w:rPr>
        <w:t>0</w:t>
      </w:r>
      <w:r>
        <w:rPr>
          <w:lang w:val="fr-BE"/>
        </w:rPr>
        <w:t xml:space="preserve"> </w:t>
      </w:r>
      <w:r w:rsidRPr="00422C5A">
        <w:rPr>
          <w:lang w:val="fr-BE"/>
        </w:rPr>
        <w:t xml:space="preserve">du CCAG </w:t>
      </w:r>
      <w:r w:rsidR="00FA41B4">
        <w:rPr>
          <w:lang w:val="fr-BE"/>
        </w:rPr>
        <w:t>Garantie technique</w:t>
      </w:r>
      <w:r>
        <w:rPr>
          <w:lang w:val="fr-BE"/>
        </w:rPr>
        <w:t>.</w:t>
      </w:r>
    </w:p>
    <w:p w14:paraId="3781758C" w14:textId="1E4648AB" w:rsidR="00141473" w:rsidRDefault="00141473" w:rsidP="00141473">
      <w:pPr>
        <w:ind w:left="-1134"/>
        <w:rPr>
          <w:lang w:val="fr-BE"/>
        </w:rPr>
      </w:pPr>
      <w:r w:rsidRPr="00422C5A">
        <w:rPr>
          <w:lang w:val="fr-BE"/>
        </w:rPr>
        <w:t>L’article</w:t>
      </w:r>
      <w:r>
        <w:rPr>
          <w:lang w:val="fr-BE"/>
        </w:rPr>
        <w:t xml:space="preserve"> </w:t>
      </w:r>
      <w:r w:rsidR="007257A1">
        <w:rPr>
          <w:lang w:val="fr-BE"/>
        </w:rPr>
        <w:t>X</w:t>
      </w:r>
      <w:r w:rsidR="00FE5DEF">
        <w:rPr>
          <w:lang w:val="fr-BE"/>
        </w:rPr>
        <w:t xml:space="preserve">II </w:t>
      </w:r>
      <w:r w:rsidRPr="00422C5A">
        <w:rPr>
          <w:lang w:val="fr-BE"/>
        </w:rPr>
        <w:t xml:space="preserve">du CCAP déroge à l'article </w:t>
      </w:r>
      <w:r>
        <w:rPr>
          <w:lang w:val="fr-BE"/>
        </w:rPr>
        <w:t xml:space="preserve"> </w:t>
      </w:r>
      <w:r w:rsidR="007257A1">
        <w:rPr>
          <w:lang w:val="fr-BE"/>
        </w:rPr>
        <w:t>3</w:t>
      </w:r>
      <w:r w:rsidR="00FA41B4">
        <w:rPr>
          <w:lang w:val="fr-BE"/>
        </w:rPr>
        <w:t>5</w:t>
      </w:r>
      <w:r w:rsidR="007257A1">
        <w:rPr>
          <w:lang w:val="fr-BE"/>
        </w:rPr>
        <w:t xml:space="preserve"> </w:t>
      </w:r>
      <w:r w:rsidRPr="00422C5A">
        <w:rPr>
          <w:lang w:val="fr-BE"/>
        </w:rPr>
        <w:t xml:space="preserve">du CCAG </w:t>
      </w:r>
      <w:r w:rsidR="00FA41B4">
        <w:rPr>
          <w:lang w:val="fr-BE"/>
        </w:rPr>
        <w:t>Régime des résultats</w:t>
      </w:r>
      <w:r>
        <w:rPr>
          <w:lang w:val="fr-BE"/>
        </w:rPr>
        <w:t>.</w:t>
      </w:r>
    </w:p>
    <w:p w14:paraId="667AABEF" w14:textId="77777777" w:rsidR="007257A1" w:rsidRDefault="007257A1" w:rsidP="00141473">
      <w:pPr>
        <w:ind w:left="-1134"/>
        <w:rPr>
          <w:lang w:val="fr-BE"/>
        </w:rPr>
      </w:pPr>
    </w:p>
    <w:p w14:paraId="5EB3918B" w14:textId="77777777" w:rsidR="00B93C2A" w:rsidRPr="009C2EE7" w:rsidRDefault="00B93C2A" w:rsidP="009C2EE7">
      <w:pPr>
        <w:pStyle w:val="Paragraphedeliste"/>
        <w:numPr>
          <w:ilvl w:val="0"/>
          <w:numId w:val="0"/>
        </w:numPr>
        <w:ind w:left="-1134"/>
        <w:rPr>
          <w:lang w:val="fr-BE"/>
        </w:rPr>
      </w:pPr>
    </w:p>
    <w:sectPr w:rsidR="00B93C2A" w:rsidRPr="009C2EE7" w:rsidSect="00B05C99">
      <w:headerReference w:type="default" r:id="rId10"/>
      <w:footerReference w:type="default" r:id="rId11"/>
      <w:headerReference w:type="first" r:id="rId12"/>
      <w:footerReference w:type="first" r:id="rId13"/>
      <w:pgSz w:w="11906" w:h="16838" w:code="9"/>
      <w:pgMar w:top="2410" w:right="1134" w:bottom="1134" w:left="2835"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0CC5B" w14:textId="77777777" w:rsidR="00EE3F57" w:rsidRDefault="00EE3F57" w:rsidP="00584267">
      <w:pPr>
        <w:spacing w:after="0" w:line="240" w:lineRule="auto"/>
      </w:pPr>
      <w:r>
        <w:separator/>
      </w:r>
    </w:p>
  </w:endnote>
  <w:endnote w:type="continuationSeparator" w:id="0">
    <w:p w14:paraId="1107B40A" w14:textId="77777777" w:rsidR="00EE3F57" w:rsidRDefault="00EE3F57"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12073417" w:rsidR="001F0574" w:rsidRPr="00AF14F3" w:rsidRDefault="001F59E9" w:rsidP="00F700E3">
    <w:pPr>
      <w:pStyle w:val="Pieddepage"/>
      <w:ind w:left="-1843"/>
      <w:rPr>
        <w:lang w:val="en-US"/>
      </w:rPr>
    </w:pPr>
    <w:r>
      <w:rPr>
        <w:i/>
        <w:iCs/>
        <w:smallCaps/>
        <w:lang w:val="en-US"/>
      </w:rPr>
      <w:t xml:space="preserve">CCAP </w:t>
    </w:r>
    <w:r w:rsidR="004366E2" w:rsidRPr="004366E2">
      <w:rPr>
        <w:b/>
        <w:i/>
        <w:iCs/>
        <w:smallCaps/>
      </w:rPr>
      <w:t>GPM-G DPD 25 20 EDD RX VFO</w:t>
    </w:r>
    <w:r w:rsidR="004366E2">
      <w:rPr>
        <w:b/>
        <w:i/>
        <w:iCs/>
        <w:smallCaps/>
      </w:rPr>
      <w:tab/>
    </w:r>
    <w:r w:rsidR="004366E2">
      <w:rPr>
        <w:b/>
        <w:i/>
        <w:iCs/>
        <w:smallCaps/>
      </w:rPr>
      <w:tab/>
    </w:r>
    <w:r w:rsidR="00F700E3"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02DEA673" w:rsidR="00F700E3" w:rsidRPr="00072995" w:rsidRDefault="001F59E9" w:rsidP="00F700E3">
    <w:pPr>
      <w:pStyle w:val="Pieddepage"/>
      <w:ind w:left="-1701"/>
      <w:rPr>
        <w:lang w:val="en-US"/>
      </w:rPr>
    </w:pPr>
    <w:r>
      <w:rPr>
        <w:i/>
        <w:iCs/>
        <w:smallCaps/>
        <w:lang w:val="en-US"/>
      </w:rPr>
      <w:t xml:space="preserve">CCAP </w:t>
    </w:r>
    <w:r w:rsidR="00B81017" w:rsidRPr="00072995">
      <w:rPr>
        <w:i/>
        <w:iCs/>
        <w:smallCaps/>
        <w:lang w:val="en-US"/>
      </w:rPr>
      <w:t xml:space="preserve">GPM-G </w:t>
    </w:r>
    <w:r w:rsidR="00AF14F3" w:rsidRPr="00072995">
      <w:rPr>
        <w:i/>
        <w:iCs/>
        <w:smallCaps/>
        <w:lang w:val="en-US"/>
      </w:rPr>
      <w:t>RX 25</w:t>
    </w:r>
    <w:r w:rsidR="00072995" w:rsidRPr="00072995">
      <w:rPr>
        <w:i/>
        <w:iCs/>
        <w:smallCaps/>
        <w:lang w:val="en-US"/>
      </w:rPr>
      <w:t xml:space="preserve"> 20 ED</w:t>
    </w:r>
    <w:r w:rsidR="00072995">
      <w:rPr>
        <w:i/>
        <w:iCs/>
        <w:smallCaps/>
        <w:lang w:val="en-US"/>
      </w:rPr>
      <w:t>D</w:t>
    </w:r>
    <w:r w:rsidR="002B4816" w:rsidRPr="00072995">
      <w:rPr>
        <w:i/>
        <w:iCs/>
        <w:smallCaps/>
        <w:lang w:val="en-US"/>
      </w:rPr>
      <w:t xml:space="preserve">        </w:t>
    </w:r>
    <w:r w:rsidR="00AF14F3" w:rsidRPr="00072995">
      <w:rPr>
        <w:i/>
        <w:iCs/>
        <w:smallCaps/>
        <w:lang w:val="en-US"/>
      </w:rPr>
      <w:t xml:space="preserve"> </w:t>
    </w:r>
    <w:r w:rsidR="002B4816" w:rsidRPr="00072995">
      <w:rPr>
        <w:i/>
        <w:iCs/>
        <w:smallCaps/>
        <w:lang w:val="en-US"/>
      </w:rPr>
      <w:t xml:space="preserve">                                                                             </w:t>
    </w:r>
    <w:r w:rsidR="00B81017" w:rsidRPr="00072995">
      <w:rPr>
        <w:i/>
        <w:iCs/>
        <w:smallCaps/>
        <w:lang w:val="en-US"/>
      </w:rPr>
      <w:t xml:space="preserve">                                         </w:t>
    </w:r>
    <w:r w:rsidR="00F700E3" w:rsidRPr="00072995">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F912B" w14:textId="77777777" w:rsidR="00EE3F57" w:rsidRDefault="00EE3F57" w:rsidP="00584267">
      <w:pPr>
        <w:spacing w:after="0" w:line="240" w:lineRule="auto"/>
      </w:pPr>
      <w:r>
        <w:separator/>
      </w:r>
    </w:p>
  </w:footnote>
  <w:footnote w:type="continuationSeparator" w:id="0">
    <w:p w14:paraId="0C4E68D6" w14:textId="77777777" w:rsidR="00EE3F57" w:rsidRDefault="00EE3F57"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38768436" name="Image 103876843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57E7FA82" w14:textId="77777777" w:rsidR="00072995" w:rsidRPr="00621B92" w:rsidRDefault="00072995" w:rsidP="00072995">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78331AE6" w14:textId="45BC6B37" w:rsidR="00011E25" w:rsidRPr="00011E25" w:rsidRDefault="00072995" w:rsidP="00072995">
    <w:pPr>
      <w:pStyle w:val="Pieddepage"/>
      <w:tabs>
        <w:tab w:val="clear" w:pos="4536"/>
      </w:tabs>
      <w:ind w:left="-1985" w:right="-285"/>
      <w:jc w:val="both"/>
      <w:rPr>
        <w:b/>
        <w:bCs/>
      </w:rPr>
    </w:pPr>
    <w:r w:rsidRPr="00621B92">
      <w:rPr>
        <w:b/>
        <w:bCs/>
      </w:rPr>
      <w:t>QHSE-01-25</w:t>
    </w:r>
    <w:r w:rsidR="00B81017">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502052886" name="Image 50205288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1AD8CF44" w14:textId="77777777" w:rsidR="00072995" w:rsidRPr="00621B92" w:rsidRDefault="00072995" w:rsidP="00072995">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05C2DDB4" w14:textId="7C68B4AB" w:rsidR="00F700E3" w:rsidRPr="004603EC" w:rsidRDefault="00072995" w:rsidP="00072995">
    <w:pPr>
      <w:pStyle w:val="Pieddepage"/>
      <w:tabs>
        <w:tab w:val="clear" w:pos="4536"/>
      </w:tabs>
      <w:ind w:left="-1985" w:right="-285"/>
      <w:jc w:val="both"/>
      <w:rPr>
        <w:b/>
        <w:bCs/>
      </w:rPr>
    </w:pPr>
    <w:r w:rsidRPr="00621B92">
      <w:rPr>
        <w:b/>
        <w:bCs/>
      </w:rPr>
      <w:t>QHSE-01-25</w:t>
    </w: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FFFFFF89"/>
    <w:multiLevelType w:val="singleLevel"/>
    <w:tmpl w:val="3932A106"/>
    <w:lvl w:ilvl="0">
      <w:start w:val="1"/>
      <w:numFmt w:val="bullet"/>
      <w:lvlText w:val=""/>
      <w:lvlJc w:val="left"/>
      <w:pPr>
        <w:ind w:left="360" w:hanging="360"/>
      </w:pPr>
      <w:rPr>
        <w:rFonts w:ascii="Symbol" w:hAnsi="Symbol" w:hint="default"/>
        <w:color w:val="6F6F74"/>
      </w:rPr>
    </w:lvl>
  </w:abstractNum>
  <w:abstractNum w:abstractNumId="5" w15:restartNumberingAfterBreak="0">
    <w:nsid w:val="0522227D"/>
    <w:multiLevelType w:val="multilevel"/>
    <w:tmpl w:val="C242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0A6B24"/>
    <w:multiLevelType w:val="hybridMultilevel"/>
    <w:tmpl w:val="43E4E8D2"/>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E07D07"/>
    <w:multiLevelType w:val="hybridMultilevel"/>
    <w:tmpl w:val="7740493A"/>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B86363"/>
    <w:multiLevelType w:val="multilevel"/>
    <w:tmpl w:val="16B21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6430A5"/>
    <w:multiLevelType w:val="multilevel"/>
    <w:tmpl w:val="D12AB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271DB6"/>
    <w:multiLevelType w:val="multilevel"/>
    <w:tmpl w:val="0920597C"/>
    <w:lvl w:ilvl="0">
      <w:start w:val="1"/>
      <w:numFmt w:val="upperRoman"/>
      <w:pStyle w:val="Titre1"/>
      <w:lvlText w:val="Article %1."/>
      <w:lvlJc w:val="left"/>
      <w:pPr>
        <w:ind w:left="0" w:firstLine="0"/>
      </w:pPr>
    </w:lvl>
    <w:lvl w:ilvl="1">
      <w:start w:val="1"/>
      <w:numFmt w:val="decimalZero"/>
      <w:pStyle w:val="Titre2"/>
      <w:isLgl/>
      <w:lvlText w:val="Section %1.%2"/>
      <w:lvlJc w:val="left"/>
      <w:pPr>
        <w:ind w:left="568"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1" w15:restartNumberingAfterBreak="0">
    <w:nsid w:val="0EA03455"/>
    <w:multiLevelType w:val="multilevel"/>
    <w:tmpl w:val="D8F0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1B4C2C"/>
    <w:multiLevelType w:val="hybridMultilevel"/>
    <w:tmpl w:val="ED22C1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16474CED"/>
    <w:multiLevelType w:val="hybridMultilevel"/>
    <w:tmpl w:val="0EBCA57A"/>
    <w:lvl w:ilvl="0" w:tplc="98E402E2">
      <w:start w:val="4"/>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4B69A0"/>
    <w:multiLevelType w:val="multilevel"/>
    <w:tmpl w:val="E406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6B17D4"/>
    <w:multiLevelType w:val="multilevel"/>
    <w:tmpl w:val="C2CA4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7" w15:restartNumberingAfterBreak="0">
    <w:nsid w:val="18FE0680"/>
    <w:multiLevelType w:val="multilevel"/>
    <w:tmpl w:val="1C56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427B9D"/>
    <w:multiLevelType w:val="multilevel"/>
    <w:tmpl w:val="F91C3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20" w15:restartNumberingAfterBreak="0">
    <w:nsid w:val="211B3E62"/>
    <w:multiLevelType w:val="hybridMultilevel"/>
    <w:tmpl w:val="AFD8802C"/>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2375488"/>
    <w:multiLevelType w:val="hybridMultilevel"/>
    <w:tmpl w:val="76285CA0"/>
    <w:lvl w:ilvl="0" w:tplc="080C0003">
      <w:start w:val="1"/>
      <w:numFmt w:val="bullet"/>
      <w:lvlText w:val="o"/>
      <w:lvlJc w:val="left"/>
      <w:pPr>
        <w:ind w:left="-414" w:hanging="360"/>
      </w:pPr>
      <w:rPr>
        <w:rFonts w:ascii="Courier New" w:hAnsi="Courier New" w:cs="Courier New"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22"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23" w15:restartNumberingAfterBreak="0">
    <w:nsid w:val="23F351CF"/>
    <w:multiLevelType w:val="hybridMultilevel"/>
    <w:tmpl w:val="1B40E0E2"/>
    <w:lvl w:ilvl="0" w:tplc="0D6E8484">
      <w:start w:val="3"/>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BA91B07"/>
    <w:multiLevelType w:val="multilevel"/>
    <w:tmpl w:val="0E2E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7241D9"/>
    <w:multiLevelType w:val="multilevel"/>
    <w:tmpl w:val="EC22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277676"/>
    <w:multiLevelType w:val="hybridMultilevel"/>
    <w:tmpl w:val="99A83E3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EE412F9"/>
    <w:multiLevelType w:val="hybridMultilevel"/>
    <w:tmpl w:val="09346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EE96EA6"/>
    <w:multiLevelType w:val="hybridMultilevel"/>
    <w:tmpl w:val="CB32D15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31362B89"/>
    <w:multiLevelType w:val="hybridMultilevel"/>
    <w:tmpl w:val="E46A56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139214F"/>
    <w:multiLevelType w:val="hybridMultilevel"/>
    <w:tmpl w:val="4ABC70C8"/>
    <w:lvl w:ilvl="0" w:tplc="1BC2381E">
      <w:start w:val="1"/>
      <w:numFmt w:val="decimal"/>
      <w:lvlText w:val="%1."/>
      <w:lvlJc w:val="left"/>
      <w:pPr>
        <w:ind w:left="-774" w:hanging="360"/>
      </w:pPr>
      <w:rPr>
        <w:rFonts w:hint="default"/>
        <w:b/>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33"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2215559"/>
    <w:multiLevelType w:val="multilevel"/>
    <w:tmpl w:val="F2D4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871362"/>
    <w:multiLevelType w:val="multilevel"/>
    <w:tmpl w:val="863E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52D4445"/>
    <w:multiLevelType w:val="hybridMultilevel"/>
    <w:tmpl w:val="BBDA0C60"/>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882064E"/>
    <w:multiLevelType w:val="multilevel"/>
    <w:tmpl w:val="FAE4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830CEE"/>
    <w:multiLevelType w:val="multilevel"/>
    <w:tmpl w:val="828A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98722D1"/>
    <w:multiLevelType w:val="hybridMultilevel"/>
    <w:tmpl w:val="C254CCF4"/>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C72DEB"/>
    <w:multiLevelType w:val="multilevel"/>
    <w:tmpl w:val="696A9452"/>
    <w:lvl w:ilvl="0">
      <w:start w:val="1"/>
      <w:numFmt w:val="decimal"/>
      <w:lvlText w:val="%1."/>
      <w:lvlJc w:val="left"/>
      <w:pPr>
        <w:tabs>
          <w:tab w:val="num" w:pos="720"/>
        </w:tabs>
        <w:ind w:left="720" w:hanging="360"/>
      </w:pPr>
      <w:rPr>
        <w:rFonts w:ascii="Arial" w:eastAsiaTheme="minorHAnsi" w:hAnsi="Arial"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BE576AE"/>
    <w:multiLevelType w:val="multilevel"/>
    <w:tmpl w:val="7466E33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ED40358"/>
    <w:multiLevelType w:val="multilevel"/>
    <w:tmpl w:val="02E4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54950A5"/>
    <w:multiLevelType w:val="multilevel"/>
    <w:tmpl w:val="14B4A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5124B7"/>
    <w:multiLevelType w:val="hybridMultilevel"/>
    <w:tmpl w:val="01AC9122"/>
    <w:lvl w:ilvl="0" w:tplc="4AF0523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75E29F3"/>
    <w:multiLevelType w:val="multilevel"/>
    <w:tmpl w:val="2BAE2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BFA0558"/>
    <w:multiLevelType w:val="multilevel"/>
    <w:tmpl w:val="65BC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FF1064A"/>
    <w:multiLevelType w:val="hybridMultilevel"/>
    <w:tmpl w:val="E620F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3080E77"/>
    <w:multiLevelType w:val="multilevel"/>
    <w:tmpl w:val="18389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AF3787"/>
    <w:multiLevelType w:val="multilevel"/>
    <w:tmpl w:val="FD3E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9431C2E"/>
    <w:multiLevelType w:val="hybridMultilevel"/>
    <w:tmpl w:val="1E38CE1A"/>
    <w:lvl w:ilvl="0" w:tplc="46DCD968">
      <w:start w:val="1"/>
      <w:numFmt w:val="decimal"/>
      <w:lvlText w:val="%1)"/>
      <w:lvlJc w:val="left"/>
      <w:pPr>
        <w:ind w:left="1637" w:hanging="360"/>
      </w:pPr>
      <w:rPr>
        <w:rFonts w:hint="default"/>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4" w15:restartNumberingAfterBreak="0">
    <w:nsid w:val="5BCE3DD1"/>
    <w:multiLevelType w:val="multilevel"/>
    <w:tmpl w:val="5D889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C04539D"/>
    <w:multiLevelType w:val="multilevel"/>
    <w:tmpl w:val="D850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E2907A2"/>
    <w:multiLevelType w:val="hybridMultilevel"/>
    <w:tmpl w:val="E57A21DA"/>
    <w:lvl w:ilvl="0" w:tplc="91922DB6">
      <w:start w:val="1"/>
      <w:numFmt w:val="bullet"/>
      <w:lvlText w:val="-"/>
      <w:lvlJc w:val="left"/>
      <w:pPr>
        <w:ind w:left="-414" w:hanging="360"/>
      </w:pPr>
      <w:rPr>
        <w:rFonts w:ascii="Calibri" w:eastAsia="Calibri" w:hAnsi="Calibri" w:cs="Calibri"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57" w15:restartNumberingAfterBreak="0">
    <w:nsid w:val="5E3B414A"/>
    <w:multiLevelType w:val="hybridMultilevel"/>
    <w:tmpl w:val="D744F100"/>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9" w15:restartNumberingAfterBreak="0">
    <w:nsid w:val="62546ACA"/>
    <w:multiLevelType w:val="multilevel"/>
    <w:tmpl w:val="13BC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37A1BC8"/>
    <w:multiLevelType w:val="multilevel"/>
    <w:tmpl w:val="DE88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5216070"/>
    <w:multiLevelType w:val="hybridMultilevel"/>
    <w:tmpl w:val="D56C24A6"/>
    <w:lvl w:ilvl="0" w:tplc="CA2A2D64">
      <w:start w:val="2"/>
      <w:numFmt w:val="bullet"/>
      <w:lvlText w:val="-"/>
      <w:lvlJc w:val="left"/>
      <w:pPr>
        <w:ind w:left="720" w:hanging="360"/>
      </w:pPr>
      <w:rPr>
        <w:rFonts w:ascii="Century Gothic" w:eastAsia="Times New Roman" w:hAnsi="Century Gothic"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6060F2"/>
    <w:multiLevelType w:val="multilevel"/>
    <w:tmpl w:val="F3F0C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6CA2A2D"/>
    <w:multiLevelType w:val="multilevel"/>
    <w:tmpl w:val="5356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3114D2"/>
    <w:multiLevelType w:val="multilevel"/>
    <w:tmpl w:val="DF02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292E29"/>
    <w:multiLevelType w:val="multilevel"/>
    <w:tmpl w:val="0E36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DB05279"/>
    <w:multiLevelType w:val="hybridMultilevel"/>
    <w:tmpl w:val="55BA2E9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7" w15:restartNumberingAfterBreak="0">
    <w:nsid w:val="718F430A"/>
    <w:multiLevelType w:val="hybridMultilevel"/>
    <w:tmpl w:val="4E3A756C"/>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34B4F33"/>
    <w:multiLevelType w:val="hybridMultilevel"/>
    <w:tmpl w:val="584239D0"/>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6F62069"/>
    <w:multiLevelType w:val="hybridMultilevel"/>
    <w:tmpl w:val="1E6C5CEE"/>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A9D19B8"/>
    <w:multiLevelType w:val="hybridMultilevel"/>
    <w:tmpl w:val="37ECC01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B65142C"/>
    <w:multiLevelType w:val="multilevel"/>
    <w:tmpl w:val="3346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BC17948"/>
    <w:multiLevelType w:val="multilevel"/>
    <w:tmpl w:val="2F8EA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C61580D"/>
    <w:multiLevelType w:val="multilevel"/>
    <w:tmpl w:val="5EC2C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CB90FEE"/>
    <w:multiLevelType w:val="hybridMultilevel"/>
    <w:tmpl w:val="024EE9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E2241AD"/>
    <w:multiLevelType w:val="multilevel"/>
    <w:tmpl w:val="AFCA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4167951">
    <w:abstractNumId w:val="4"/>
  </w:num>
  <w:num w:numId="2" w16cid:durableId="1551921059">
    <w:abstractNumId w:val="3"/>
  </w:num>
  <w:num w:numId="3" w16cid:durableId="1644382883">
    <w:abstractNumId w:val="2"/>
  </w:num>
  <w:num w:numId="4" w16cid:durableId="1086921220">
    <w:abstractNumId w:val="1"/>
  </w:num>
  <w:num w:numId="5" w16cid:durableId="333454829">
    <w:abstractNumId w:val="0"/>
  </w:num>
  <w:num w:numId="6" w16cid:durableId="1558273936">
    <w:abstractNumId w:val="70"/>
  </w:num>
  <w:num w:numId="7" w16cid:durableId="1531256536">
    <w:abstractNumId w:val="41"/>
  </w:num>
  <w:num w:numId="8" w16cid:durableId="70591668">
    <w:abstractNumId w:val="57"/>
  </w:num>
  <w:num w:numId="9" w16cid:durableId="959069795">
    <w:abstractNumId w:val="37"/>
  </w:num>
  <w:num w:numId="10" w16cid:durableId="74481379">
    <w:abstractNumId w:val="38"/>
  </w:num>
  <w:num w:numId="11" w16cid:durableId="242228312">
    <w:abstractNumId w:val="53"/>
  </w:num>
  <w:num w:numId="12" w16cid:durableId="240144851">
    <w:abstractNumId w:val="33"/>
  </w:num>
  <w:num w:numId="13" w16cid:durableId="1028945924">
    <w:abstractNumId w:val="36"/>
  </w:num>
  <w:num w:numId="14" w16cid:durableId="1583678224">
    <w:abstractNumId w:val="68"/>
  </w:num>
  <w:num w:numId="15" w16cid:durableId="685056907">
    <w:abstractNumId w:val="58"/>
  </w:num>
  <w:num w:numId="16" w16cid:durableId="1184399285">
    <w:abstractNumId w:val="7"/>
  </w:num>
  <w:num w:numId="17" w16cid:durableId="1053578020">
    <w:abstractNumId w:val="48"/>
  </w:num>
  <w:num w:numId="18" w16cid:durableId="1888683803">
    <w:abstractNumId w:val="22"/>
    <w:lvlOverride w:ilvl="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Override>
    <w:lvlOverride w:ilvl="1">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Override>
  </w:num>
  <w:num w:numId="19" w16cid:durableId="319579814">
    <w:abstractNumId w:val="28"/>
  </w:num>
  <w:num w:numId="20" w16cid:durableId="777526894">
    <w:abstractNumId w:val="61"/>
  </w:num>
  <w:num w:numId="21" w16cid:durableId="824779851">
    <w:abstractNumId w:val="69"/>
  </w:num>
  <w:num w:numId="22" w16cid:durableId="10452066">
    <w:abstractNumId w:val="29"/>
  </w:num>
  <w:num w:numId="23" w16cid:durableId="1801455268">
    <w:abstractNumId w:val="13"/>
  </w:num>
  <w:num w:numId="24" w16cid:durableId="655762353">
    <w:abstractNumId w:val="24"/>
  </w:num>
  <w:num w:numId="25" w16cid:durableId="507446954">
    <w:abstractNumId w:val="71"/>
  </w:num>
  <w:num w:numId="26" w16cid:durableId="1164205551">
    <w:abstractNumId w:val="6"/>
  </w:num>
  <w:num w:numId="27" w16cid:durableId="381952855">
    <w:abstractNumId w:val="67"/>
  </w:num>
  <w:num w:numId="28" w16cid:durableId="78990978">
    <w:abstractNumId w:val="22"/>
  </w:num>
  <w:num w:numId="29" w16cid:durableId="1010178284">
    <w:abstractNumId w:val="31"/>
  </w:num>
  <w:num w:numId="30" w16cid:durableId="1851678019">
    <w:abstractNumId w:val="10"/>
  </w:num>
  <w:num w:numId="31" w16cid:durableId="1809199719">
    <w:abstractNumId w:val="20"/>
  </w:num>
  <w:num w:numId="32" w16cid:durableId="1490637006">
    <w:abstractNumId w:val="10"/>
  </w:num>
  <w:num w:numId="33" w16cid:durableId="881329263">
    <w:abstractNumId w:val="50"/>
  </w:num>
  <w:num w:numId="34" w16cid:durableId="492796060">
    <w:abstractNumId w:val="16"/>
  </w:num>
  <w:num w:numId="35" w16cid:durableId="909734208">
    <w:abstractNumId w:val="75"/>
  </w:num>
  <w:num w:numId="36" w16cid:durableId="2027170318">
    <w:abstractNumId w:val="34"/>
  </w:num>
  <w:num w:numId="37" w16cid:durableId="1832868644">
    <w:abstractNumId w:val="27"/>
  </w:num>
  <w:num w:numId="38" w16cid:durableId="503906889">
    <w:abstractNumId w:val="10"/>
  </w:num>
  <w:num w:numId="39" w16cid:durableId="15171179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56025046">
    <w:abstractNumId w:val="10"/>
  </w:num>
  <w:num w:numId="41" w16cid:durableId="1470393898">
    <w:abstractNumId w:val="10"/>
  </w:num>
  <w:num w:numId="42" w16cid:durableId="7395993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61563231">
    <w:abstractNumId w:val="42"/>
  </w:num>
  <w:num w:numId="44" w16cid:durableId="991908782">
    <w:abstractNumId w:val="32"/>
  </w:num>
  <w:num w:numId="45" w16cid:durableId="185097232">
    <w:abstractNumId w:val="62"/>
  </w:num>
  <w:num w:numId="46" w16cid:durableId="2056000019">
    <w:abstractNumId w:val="15"/>
  </w:num>
  <w:num w:numId="47" w16cid:durableId="2129886916">
    <w:abstractNumId w:val="23"/>
  </w:num>
  <w:num w:numId="48" w16cid:durableId="714159130">
    <w:abstractNumId w:val="47"/>
  </w:num>
  <w:num w:numId="49" w16cid:durableId="745148280">
    <w:abstractNumId w:val="30"/>
  </w:num>
  <w:num w:numId="50" w16cid:durableId="687877904">
    <w:abstractNumId w:val="52"/>
  </w:num>
  <w:num w:numId="51" w16cid:durableId="1577937243">
    <w:abstractNumId w:val="25"/>
  </w:num>
  <w:num w:numId="52" w16cid:durableId="1519466322">
    <w:abstractNumId w:val="64"/>
  </w:num>
  <w:num w:numId="53" w16cid:durableId="2146577614">
    <w:abstractNumId w:val="26"/>
  </w:num>
  <w:num w:numId="54" w16cid:durableId="1419055727">
    <w:abstractNumId w:val="18"/>
  </w:num>
  <w:num w:numId="55" w16cid:durableId="258488521">
    <w:abstractNumId w:val="45"/>
  </w:num>
  <w:num w:numId="56" w16cid:durableId="396756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7968589">
    <w:abstractNumId w:val="5"/>
  </w:num>
  <w:num w:numId="58" w16cid:durableId="14239159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12791948">
    <w:abstractNumId w:val="21"/>
  </w:num>
  <w:num w:numId="60" w16cid:durableId="17085280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07470719">
    <w:abstractNumId w:val="40"/>
  </w:num>
  <w:num w:numId="62" w16cid:durableId="409809671">
    <w:abstractNumId w:val="56"/>
  </w:num>
  <w:num w:numId="63" w16cid:durableId="472142362">
    <w:abstractNumId w:val="66"/>
  </w:num>
  <w:num w:numId="64" w16cid:durableId="1360544653">
    <w:abstractNumId w:val="37"/>
  </w:num>
  <w:num w:numId="65" w16cid:durableId="1007370763">
    <w:abstractNumId w:val="74"/>
  </w:num>
  <w:num w:numId="66" w16cid:durableId="861823139">
    <w:abstractNumId w:val="54"/>
  </w:num>
  <w:num w:numId="67" w16cid:durableId="1678649732">
    <w:abstractNumId w:val="17"/>
  </w:num>
  <w:num w:numId="68" w16cid:durableId="414205174">
    <w:abstractNumId w:val="55"/>
  </w:num>
  <w:num w:numId="69" w16cid:durableId="930091327">
    <w:abstractNumId w:val="59"/>
  </w:num>
  <w:num w:numId="70" w16cid:durableId="371928610">
    <w:abstractNumId w:val="65"/>
  </w:num>
  <w:num w:numId="71" w16cid:durableId="782966532">
    <w:abstractNumId w:val="63"/>
  </w:num>
  <w:num w:numId="72" w16cid:durableId="1276906053">
    <w:abstractNumId w:val="49"/>
  </w:num>
  <w:num w:numId="73" w16cid:durableId="15629046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0330432">
    <w:abstractNumId w:val="72"/>
  </w:num>
  <w:num w:numId="75" w16cid:durableId="1584531954">
    <w:abstractNumId w:val="14"/>
  </w:num>
  <w:num w:numId="76" w16cid:durableId="1514952183">
    <w:abstractNumId w:val="76"/>
  </w:num>
  <w:num w:numId="77" w16cid:durableId="14386016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4545216">
    <w:abstractNumId w:val="51"/>
  </w:num>
  <w:num w:numId="79" w16cid:durableId="1302610115">
    <w:abstractNumId w:val="43"/>
  </w:num>
  <w:num w:numId="80" w16cid:durableId="15435904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519395709">
    <w:abstractNumId w:val="60"/>
  </w:num>
  <w:num w:numId="82" w16cid:durableId="856892771">
    <w:abstractNumId w:val="12"/>
  </w:num>
  <w:num w:numId="83" w16cid:durableId="17656122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62273919">
    <w:abstractNumId w:val="10"/>
  </w:num>
  <w:num w:numId="85" w16cid:durableId="2118255721">
    <w:abstractNumId w:val="19"/>
  </w:num>
  <w:num w:numId="86" w16cid:durableId="458764996">
    <w:abstractNumId w:val="46"/>
  </w:num>
  <w:num w:numId="87" w16cid:durableId="1487285245">
    <w:abstractNumId w:val="11"/>
  </w:num>
  <w:num w:numId="88" w16cid:durableId="1935899334">
    <w:abstractNumId w:val="8"/>
  </w:num>
  <w:num w:numId="89" w16cid:durableId="1593583254">
    <w:abstractNumId w:val="35"/>
  </w:num>
  <w:num w:numId="90" w16cid:durableId="112601655">
    <w:abstractNumId w:val="9"/>
  </w:num>
  <w:num w:numId="91" w16cid:durableId="907767519">
    <w:abstractNumId w:val="44"/>
  </w:num>
  <w:num w:numId="92" w16cid:durableId="697118516">
    <w:abstractNumId w:val="39"/>
  </w:num>
  <w:num w:numId="93" w16cid:durableId="2080518802">
    <w:abstractNumId w:val="73"/>
  </w:num>
  <w:num w:numId="94" w16cid:durableId="11632043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261681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2A66"/>
    <w:rsid w:val="00011E25"/>
    <w:rsid w:val="00012023"/>
    <w:rsid w:val="00016BA3"/>
    <w:rsid w:val="00026183"/>
    <w:rsid w:val="00036A02"/>
    <w:rsid w:val="00043380"/>
    <w:rsid w:val="000559A4"/>
    <w:rsid w:val="000569F3"/>
    <w:rsid w:val="00072995"/>
    <w:rsid w:val="00081493"/>
    <w:rsid w:val="00085AC9"/>
    <w:rsid w:val="000929E6"/>
    <w:rsid w:val="000A0133"/>
    <w:rsid w:val="000B0162"/>
    <w:rsid w:val="000B09C5"/>
    <w:rsid w:val="000B420A"/>
    <w:rsid w:val="000B4395"/>
    <w:rsid w:val="000C358F"/>
    <w:rsid w:val="000E0BAA"/>
    <w:rsid w:val="000E104C"/>
    <w:rsid w:val="000E4550"/>
    <w:rsid w:val="000E4B9D"/>
    <w:rsid w:val="001054C7"/>
    <w:rsid w:val="00105AD3"/>
    <w:rsid w:val="0011434B"/>
    <w:rsid w:val="00115026"/>
    <w:rsid w:val="00116CF5"/>
    <w:rsid w:val="001214BE"/>
    <w:rsid w:val="0012287F"/>
    <w:rsid w:val="0012348F"/>
    <w:rsid w:val="00137429"/>
    <w:rsid w:val="00141473"/>
    <w:rsid w:val="0014346E"/>
    <w:rsid w:val="00155E90"/>
    <w:rsid w:val="00160267"/>
    <w:rsid w:val="00160624"/>
    <w:rsid w:val="00167632"/>
    <w:rsid w:val="00170134"/>
    <w:rsid w:val="00172D9C"/>
    <w:rsid w:val="00172E1A"/>
    <w:rsid w:val="001775AC"/>
    <w:rsid w:val="001817C1"/>
    <w:rsid w:val="00181BF8"/>
    <w:rsid w:val="00191A59"/>
    <w:rsid w:val="001A08EE"/>
    <w:rsid w:val="001B02C6"/>
    <w:rsid w:val="001B5B9D"/>
    <w:rsid w:val="001C1851"/>
    <w:rsid w:val="001C6529"/>
    <w:rsid w:val="001C7D3A"/>
    <w:rsid w:val="001D000E"/>
    <w:rsid w:val="001D2796"/>
    <w:rsid w:val="001F0574"/>
    <w:rsid w:val="001F1BCF"/>
    <w:rsid w:val="001F59E9"/>
    <w:rsid w:val="001F5D68"/>
    <w:rsid w:val="001F5FE6"/>
    <w:rsid w:val="00203D6C"/>
    <w:rsid w:val="00212E61"/>
    <w:rsid w:val="00215AF5"/>
    <w:rsid w:val="00223CC1"/>
    <w:rsid w:val="0022466F"/>
    <w:rsid w:val="0024001C"/>
    <w:rsid w:val="00243F24"/>
    <w:rsid w:val="002467E2"/>
    <w:rsid w:val="00247CE8"/>
    <w:rsid w:val="0025161C"/>
    <w:rsid w:val="0026464C"/>
    <w:rsid w:val="0027164C"/>
    <w:rsid w:val="00272836"/>
    <w:rsid w:val="00275745"/>
    <w:rsid w:val="00281D17"/>
    <w:rsid w:val="00281F9C"/>
    <w:rsid w:val="00284865"/>
    <w:rsid w:val="0028762B"/>
    <w:rsid w:val="0029040A"/>
    <w:rsid w:val="002961DF"/>
    <w:rsid w:val="002A0663"/>
    <w:rsid w:val="002A1980"/>
    <w:rsid w:val="002A3B03"/>
    <w:rsid w:val="002B4816"/>
    <w:rsid w:val="002B59C6"/>
    <w:rsid w:val="002B77DB"/>
    <w:rsid w:val="002B78C1"/>
    <w:rsid w:val="002C6C58"/>
    <w:rsid w:val="002C6D7A"/>
    <w:rsid w:val="002D7ACA"/>
    <w:rsid w:val="002E22B3"/>
    <w:rsid w:val="00301A60"/>
    <w:rsid w:val="00303C91"/>
    <w:rsid w:val="00313C44"/>
    <w:rsid w:val="00315909"/>
    <w:rsid w:val="00327534"/>
    <w:rsid w:val="00344C15"/>
    <w:rsid w:val="00362823"/>
    <w:rsid w:val="00376678"/>
    <w:rsid w:val="00385D2E"/>
    <w:rsid w:val="00394727"/>
    <w:rsid w:val="00397B13"/>
    <w:rsid w:val="003A5DCC"/>
    <w:rsid w:val="003B5381"/>
    <w:rsid w:val="003C26A1"/>
    <w:rsid w:val="003C3C74"/>
    <w:rsid w:val="003C65E8"/>
    <w:rsid w:val="003D0E2C"/>
    <w:rsid w:val="003D2A96"/>
    <w:rsid w:val="003E4DA4"/>
    <w:rsid w:val="003E58B4"/>
    <w:rsid w:val="003F1DDC"/>
    <w:rsid w:val="003F7627"/>
    <w:rsid w:val="003F7E04"/>
    <w:rsid w:val="004063F8"/>
    <w:rsid w:val="00415745"/>
    <w:rsid w:val="004164A8"/>
    <w:rsid w:val="00422C5A"/>
    <w:rsid w:val="0043241D"/>
    <w:rsid w:val="00433D73"/>
    <w:rsid w:val="004346A4"/>
    <w:rsid w:val="004366E2"/>
    <w:rsid w:val="00441E32"/>
    <w:rsid w:val="004472C5"/>
    <w:rsid w:val="004523D4"/>
    <w:rsid w:val="00456C77"/>
    <w:rsid w:val="00462C55"/>
    <w:rsid w:val="004657BA"/>
    <w:rsid w:val="0048476D"/>
    <w:rsid w:val="00484E63"/>
    <w:rsid w:val="0048775C"/>
    <w:rsid w:val="00487F5D"/>
    <w:rsid w:val="004977C9"/>
    <w:rsid w:val="004A1961"/>
    <w:rsid w:val="004A21DC"/>
    <w:rsid w:val="004B472A"/>
    <w:rsid w:val="004B58D4"/>
    <w:rsid w:val="004B662D"/>
    <w:rsid w:val="004C1A95"/>
    <w:rsid w:val="004C4623"/>
    <w:rsid w:val="004D46DE"/>
    <w:rsid w:val="004D61E0"/>
    <w:rsid w:val="004E029F"/>
    <w:rsid w:val="004E5A16"/>
    <w:rsid w:val="004F36E3"/>
    <w:rsid w:val="005016CC"/>
    <w:rsid w:val="0050623B"/>
    <w:rsid w:val="00516003"/>
    <w:rsid w:val="005211F3"/>
    <w:rsid w:val="005237D3"/>
    <w:rsid w:val="00541445"/>
    <w:rsid w:val="00541D56"/>
    <w:rsid w:val="00543129"/>
    <w:rsid w:val="005452DB"/>
    <w:rsid w:val="00556382"/>
    <w:rsid w:val="00563F22"/>
    <w:rsid w:val="0057346D"/>
    <w:rsid w:val="0057675B"/>
    <w:rsid w:val="00584267"/>
    <w:rsid w:val="005862B7"/>
    <w:rsid w:val="005929C1"/>
    <w:rsid w:val="005942A3"/>
    <w:rsid w:val="00597990"/>
    <w:rsid w:val="005B09A7"/>
    <w:rsid w:val="005B229F"/>
    <w:rsid w:val="005B63BC"/>
    <w:rsid w:val="005C24A7"/>
    <w:rsid w:val="005C7312"/>
    <w:rsid w:val="005C7ED0"/>
    <w:rsid w:val="005D4CB8"/>
    <w:rsid w:val="005F2EFA"/>
    <w:rsid w:val="005F2FA6"/>
    <w:rsid w:val="005F4F8D"/>
    <w:rsid w:val="00600003"/>
    <w:rsid w:val="00600B01"/>
    <w:rsid w:val="006051E0"/>
    <w:rsid w:val="0061130B"/>
    <w:rsid w:val="0061446C"/>
    <w:rsid w:val="00640AA8"/>
    <w:rsid w:val="00641218"/>
    <w:rsid w:val="006440B8"/>
    <w:rsid w:val="00644F84"/>
    <w:rsid w:val="00646344"/>
    <w:rsid w:val="00647AFF"/>
    <w:rsid w:val="00657430"/>
    <w:rsid w:val="00657E06"/>
    <w:rsid w:val="00666799"/>
    <w:rsid w:val="00671FF5"/>
    <w:rsid w:val="006728D4"/>
    <w:rsid w:val="00674513"/>
    <w:rsid w:val="006912B1"/>
    <w:rsid w:val="00694703"/>
    <w:rsid w:val="0069511D"/>
    <w:rsid w:val="006A5945"/>
    <w:rsid w:val="006A643F"/>
    <w:rsid w:val="006A762A"/>
    <w:rsid w:val="006A79CD"/>
    <w:rsid w:val="006B3E36"/>
    <w:rsid w:val="006D43B1"/>
    <w:rsid w:val="006D6EB7"/>
    <w:rsid w:val="006E2FFD"/>
    <w:rsid w:val="006E3ED0"/>
    <w:rsid w:val="006E69C7"/>
    <w:rsid w:val="006E72C7"/>
    <w:rsid w:val="006F4887"/>
    <w:rsid w:val="00710E3D"/>
    <w:rsid w:val="00717480"/>
    <w:rsid w:val="00717F58"/>
    <w:rsid w:val="007257A1"/>
    <w:rsid w:val="00732376"/>
    <w:rsid w:val="00732D58"/>
    <w:rsid w:val="00743CBC"/>
    <w:rsid w:val="007508B8"/>
    <w:rsid w:val="00764BA7"/>
    <w:rsid w:val="0076674D"/>
    <w:rsid w:val="00772027"/>
    <w:rsid w:val="00772C55"/>
    <w:rsid w:val="00775F21"/>
    <w:rsid w:val="00782B1B"/>
    <w:rsid w:val="00783ED7"/>
    <w:rsid w:val="0078456C"/>
    <w:rsid w:val="0078747A"/>
    <w:rsid w:val="00791AA5"/>
    <w:rsid w:val="007931BE"/>
    <w:rsid w:val="00796CE6"/>
    <w:rsid w:val="00797596"/>
    <w:rsid w:val="0079766A"/>
    <w:rsid w:val="00797E61"/>
    <w:rsid w:val="007A0FE4"/>
    <w:rsid w:val="007A10A3"/>
    <w:rsid w:val="007A44EC"/>
    <w:rsid w:val="007A6150"/>
    <w:rsid w:val="007B017C"/>
    <w:rsid w:val="007B6309"/>
    <w:rsid w:val="007B75FD"/>
    <w:rsid w:val="007C04BF"/>
    <w:rsid w:val="007C4D05"/>
    <w:rsid w:val="007D52FC"/>
    <w:rsid w:val="007F1BF1"/>
    <w:rsid w:val="007F7E40"/>
    <w:rsid w:val="008012C0"/>
    <w:rsid w:val="00802221"/>
    <w:rsid w:val="00805097"/>
    <w:rsid w:val="00805A2D"/>
    <w:rsid w:val="008062D1"/>
    <w:rsid w:val="00816BD7"/>
    <w:rsid w:val="00820680"/>
    <w:rsid w:val="00830216"/>
    <w:rsid w:val="0083623B"/>
    <w:rsid w:val="008376D0"/>
    <w:rsid w:val="00854AB1"/>
    <w:rsid w:val="00855C60"/>
    <w:rsid w:val="00874DF7"/>
    <w:rsid w:val="008807F8"/>
    <w:rsid w:val="008A6734"/>
    <w:rsid w:val="008C1E61"/>
    <w:rsid w:val="008D7BB1"/>
    <w:rsid w:val="008E3D10"/>
    <w:rsid w:val="008E4863"/>
    <w:rsid w:val="008F2E64"/>
    <w:rsid w:val="008F445F"/>
    <w:rsid w:val="00905E14"/>
    <w:rsid w:val="009268D9"/>
    <w:rsid w:val="00930FE0"/>
    <w:rsid w:val="00934257"/>
    <w:rsid w:val="00934DA0"/>
    <w:rsid w:val="00937D9E"/>
    <w:rsid w:val="00941476"/>
    <w:rsid w:val="009431F5"/>
    <w:rsid w:val="0095093B"/>
    <w:rsid w:val="00952B41"/>
    <w:rsid w:val="00962FD5"/>
    <w:rsid w:val="009642F3"/>
    <w:rsid w:val="0097218E"/>
    <w:rsid w:val="0097650D"/>
    <w:rsid w:val="00976CED"/>
    <w:rsid w:val="00980711"/>
    <w:rsid w:val="00986973"/>
    <w:rsid w:val="00993119"/>
    <w:rsid w:val="0099640B"/>
    <w:rsid w:val="009A073E"/>
    <w:rsid w:val="009B355E"/>
    <w:rsid w:val="009C020E"/>
    <w:rsid w:val="009C2EE7"/>
    <w:rsid w:val="009D7405"/>
    <w:rsid w:val="009E09AE"/>
    <w:rsid w:val="009E10E7"/>
    <w:rsid w:val="009F0371"/>
    <w:rsid w:val="00A016C9"/>
    <w:rsid w:val="00A03845"/>
    <w:rsid w:val="00A03A89"/>
    <w:rsid w:val="00A06F4D"/>
    <w:rsid w:val="00A070F6"/>
    <w:rsid w:val="00A23C24"/>
    <w:rsid w:val="00A34C10"/>
    <w:rsid w:val="00A34F17"/>
    <w:rsid w:val="00A36D7D"/>
    <w:rsid w:val="00A37FAC"/>
    <w:rsid w:val="00A42EA3"/>
    <w:rsid w:val="00A46B9F"/>
    <w:rsid w:val="00A5021C"/>
    <w:rsid w:val="00A65A30"/>
    <w:rsid w:val="00A67102"/>
    <w:rsid w:val="00A74891"/>
    <w:rsid w:val="00A86924"/>
    <w:rsid w:val="00A97923"/>
    <w:rsid w:val="00AA5C2F"/>
    <w:rsid w:val="00AA7022"/>
    <w:rsid w:val="00AB337F"/>
    <w:rsid w:val="00AD13B3"/>
    <w:rsid w:val="00AD1887"/>
    <w:rsid w:val="00AD26C0"/>
    <w:rsid w:val="00AD4FF0"/>
    <w:rsid w:val="00AD5C21"/>
    <w:rsid w:val="00AE311A"/>
    <w:rsid w:val="00AE3274"/>
    <w:rsid w:val="00AE5FD6"/>
    <w:rsid w:val="00AF14F3"/>
    <w:rsid w:val="00AF4186"/>
    <w:rsid w:val="00AF5AD9"/>
    <w:rsid w:val="00AF643D"/>
    <w:rsid w:val="00AF7940"/>
    <w:rsid w:val="00B03C9C"/>
    <w:rsid w:val="00B05C99"/>
    <w:rsid w:val="00B10575"/>
    <w:rsid w:val="00B35624"/>
    <w:rsid w:val="00B35DC6"/>
    <w:rsid w:val="00B370F9"/>
    <w:rsid w:val="00B40510"/>
    <w:rsid w:val="00B46982"/>
    <w:rsid w:val="00B51409"/>
    <w:rsid w:val="00B51833"/>
    <w:rsid w:val="00B81017"/>
    <w:rsid w:val="00B93C2A"/>
    <w:rsid w:val="00BA0250"/>
    <w:rsid w:val="00BA4B4D"/>
    <w:rsid w:val="00BB0C87"/>
    <w:rsid w:val="00BB196B"/>
    <w:rsid w:val="00BB196C"/>
    <w:rsid w:val="00BB794F"/>
    <w:rsid w:val="00BC1C14"/>
    <w:rsid w:val="00BC72DE"/>
    <w:rsid w:val="00BD14E0"/>
    <w:rsid w:val="00BD585E"/>
    <w:rsid w:val="00BD754A"/>
    <w:rsid w:val="00BF796B"/>
    <w:rsid w:val="00BF7B0C"/>
    <w:rsid w:val="00C04A95"/>
    <w:rsid w:val="00C067AC"/>
    <w:rsid w:val="00C127E9"/>
    <w:rsid w:val="00C1439A"/>
    <w:rsid w:val="00C202DE"/>
    <w:rsid w:val="00C2646B"/>
    <w:rsid w:val="00C353D6"/>
    <w:rsid w:val="00C42B43"/>
    <w:rsid w:val="00C43A21"/>
    <w:rsid w:val="00C53F46"/>
    <w:rsid w:val="00C569AB"/>
    <w:rsid w:val="00C63855"/>
    <w:rsid w:val="00C653D1"/>
    <w:rsid w:val="00C66A18"/>
    <w:rsid w:val="00C66E3F"/>
    <w:rsid w:val="00C80B79"/>
    <w:rsid w:val="00C83A6C"/>
    <w:rsid w:val="00C917B4"/>
    <w:rsid w:val="00CA6DDB"/>
    <w:rsid w:val="00CB0D22"/>
    <w:rsid w:val="00CB6B4F"/>
    <w:rsid w:val="00CE19D2"/>
    <w:rsid w:val="00CE497E"/>
    <w:rsid w:val="00CE6783"/>
    <w:rsid w:val="00CE6C02"/>
    <w:rsid w:val="00CF0260"/>
    <w:rsid w:val="00CF13AB"/>
    <w:rsid w:val="00CF5DF7"/>
    <w:rsid w:val="00D06DD8"/>
    <w:rsid w:val="00D07B14"/>
    <w:rsid w:val="00D110C4"/>
    <w:rsid w:val="00D111EF"/>
    <w:rsid w:val="00D46C02"/>
    <w:rsid w:val="00D5141E"/>
    <w:rsid w:val="00D52388"/>
    <w:rsid w:val="00D67774"/>
    <w:rsid w:val="00D70F4D"/>
    <w:rsid w:val="00D73B75"/>
    <w:rsid w:val="00D74FDF"/>
    <w:rsid w:val="00D7666F"/>
    <w:rsid w:val="00D95BE6"/>
    <w:rsid w:val="00D95F18"/>
    <w:rsid w:val="00DA3E9A"/>
    <w:rsid w:val="00DB4605"/>
    <w:rsid w:val="00DC0640"/>
    <w:rsid w:val="00DC4D49"/>
    <w:rsid w:val="00DD0556"/>
    <w:rsid w:val="00DD5647"/>
    <w:rsid w:val="00DD6D92"/>
    <w:rsid w:val="00DD701C"/>
    <w:rsid w:val="00DE42E9"/>
    <w:rsid w:val="00DE59EF"/>
    <w:rsid w:val="00DF150B"/>
    <w:rsid w:val="00DF2C6B"/>
    <w:rsid w:val="00DF45FD"/>
    <w:rsid w:val="00DF5AE9"/>
    <w:rsid w:val="00E031B9"/>
    <w:rsid w:val="00E04C64"/>
    <w:rsid w:val="00E14BE0"/>
    <w:rsid w:val="00E15EDD"/>
    <w:rsid w:val="00E20A77"/>
    <w:rsid w:val="00E237F0"/>
    <w:rsid w:val="00E255E4"/>
    <w:rsid w:val="00E27705"/>
    <w:rsid w:val="00E3130F"/>
    <w:rsid w:val="00E33558"/>
    <w:rsid w:val="00E35425"/>
    <w:rsid w:val="00E42313"/>
    <w:rsid w:val="00E52AA3"/>
    <w:rsid w:val="00E62BE3"/>
    <w:rsid w:val="00E700B0"/>
    <w:rsid w:val="00E752CB"/>
    <w:rsid w:val="00E829C7"/>
    <w:rsid w:val="00E86A18"/>
    <w:rsid w:val="00E91FBA"/>
    <w:rsid w:val="00E92AB9"/>
    <w:rsid w:val="00E92DD4"/>
    <w:rsid w:val="00E94376"/>
    <w:rsid w:val="00E95C85"/>
    <w:rsid w:val="00E9718A"/>
    <w:rsid w:val="00EA00D1"/>
    <w:rsid w:val="00EA126C"/>
    <w:rsid w:val="00EC0D6E"/>
    <w:rsid w:val="00EC7FC3"/>
    <w:rsid w:val="00ED1D3D"/>
    <w:rsid w:val="00ED3F99"/>
    <w:rsid w:val="00EE3892"/>
    <w:rsid w:val="00EE3F57"/>
    <w:rsid w:val="00EE7661"/>
    <w:rsid w:val="00EF6D81"/>
    <w:rsid w:val="00F06348"/>
    <w:rsid w:val="00F202B1"/>
    <w:rsid w:val="00F22895"/>
    <w:rsid w:val="00F26CAA"/>
    <w:rsid w:val="00F270FF"/>
    <w:rsid w:val="00F63B60"/>
    <w:rsid w:val="00F653FB"/>
    <w:rsid w:val="00F65780"/>
    <w:rsid w:val="00F700E3"/>
    <w:rsid w:val="00F70B95"/>
    <w:rsid w:val="00F8009E"/>
    <w:rsid w:val="00F86A55"/>
    <w:rsid w:val="00F877EA"/>
    <w:rsid w:val="00F92CF0"/>
    <w:rsid w:val="00F94620"/>
    <w:rsid w:val="00FA23EF"/>
    <w:rsid w:val="00FA41B4"/>
    <w:rsid w:val="00FA45D5"/>
    <w:rsid w:val="00FB4656"/>
    <w:rsid w:val="00FC0B04"/>
    <w:rsid w:val="00FC647E"/>
    <w:rsid w:val="00FE3368"/>
    <w:rsid w:val="00FE355A"/>
    <w:rsid w:val="00FE5DEF"/>
    <w:rsid w:val="00FF0DDE"/>
    <w:rsid w:val="00FF2F1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394727"/>
    <w:pPr>
      <w:keepNext/>
      <w:keepLines/>
      <w:numPr>
        <w:numId w:val="30"/>
      </w:numPr>
      <w:spacing w:before="240" w:after="240"/>
      <w:ind w:left="-992" w:hanging="142"/>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D7405"/>
    <w:pPr>
      <w:numPr>
        <w:ilvl w:val="1"/>
        <w:numId w:val="30"/>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9D7405"/>
    <w:pPr>
      <w:numPr>
        <w:ilvl w:val="2"/>
        <w:numId w:val="30"/>
      </w:numPr>
      <w:tabs>
        <w:tab w:val="left" w:pos="426"/>
      </w:tabs>
      <w:spacing w:before="24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30"/>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30"/>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30"/>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30"/>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394727"/>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D7405"/>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9D7405"/>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2"/>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3"/>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4"/>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5"/>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9"/>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28"/>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758">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78213291">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11175105">
      <w:bodyDiv w:val="1"/>
      <w:marLeft w:val="0"/>
      <w:marRight w:val="0"/>
      <w:marTop w:val="0"/>
      <w:marBottom w:val="0"/>
      <w:divBdr>
        <w:top w:val="none" w:sz="0" w:space="0" w:color="auto"/>
        <w:left w:val="none" w:sz="0" w:space="0" w:color="auto"/>
        <w:bottom w:val="none" w:sz="0" w:space="0" w:color="auto"/>
        <w:right w:val="none" w:sz="0" w:space="0" w:color="auto"/>
      </w:divBdr>
    </w:div>
    <w:div w:id="115179446">
      <w:bodyDiv w:val="1"/>
      <w:marLeft w:val="0"/>
      <w:marRight w:val="0"/>
      <w:marTop w:val="0"/>
      <w:marBottom w:val="0"/>
      <w:divBdr>
        <w:top w:val="none" w:sz="0" w:space="0" w:color="auto"/>
        <w:left w:val="none" w:sz="0" w:space="0" w:color="auto"/>
        <w:bottom w:val="none" w:sz="0" w:space="0" w:color="auto"/>
        <w:right w:val="none" w:sz="0" w:space="0" w:color="auto"/>
      </w:divBdr>
      <w:divsChild>
        <w:div w:id="77096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26384">
      <w:bodyDiv w:val="1"/>
      <w:marLeft w:val="0"/>
      <w:marRight w:val="0"/>
      <w:marTop w:val="0"/>
      <w:marBottom w:val="0"/>
      <w:divBdr>
        <w:top w:val="none" w:sz="0" w:space="0" w:color="auto"/>
        <w:left w:val="none" w:sz="0" w:space="0" w:color="auto"/>
        <w:bottom w:val="none" w:sz="0" w:space="0" w:color="auto"/>
        <w:right w:val="none" w:sz="0" w:space="0" w:color="auto"/>
      </w:divBdr>
    </w:div>
    <w:div w:id="157964239">
      <w:bodyDiv w:val="1"/>
      <w:marLeft w:val="0"/>
      <w:marRight w:val="0"/>
      <w:marTop w:val="0"/>
      <w:marBottom w:val="0"/>
      <w:divBdr>
        <w:top w:val="none" w:sz="0" w:space="0" w:color="auto"/>
        <w:left w:val="none" w:sz="0" w:space="0" w:color="auto"/>
        <w:bottom w:val="none" w:sz="0" w:space="0" w:color="auto"/>
        <w:right w:val="none" w:sz="0" w:space="0" w:color="auto"/>
      </w:divBdr>
    </w:div>
    <w:div w:id="170533250">
      <w:bodyDiv w:val="1"/>
      <w:marLeft w:val="0"/>
      <w:marRight w:val="0"/>
      <w:marTop w:val="0"/>
      <w:marBottom w:val="0"/>
      <w:divBdr>
        <w:top w:val="none" w:sz="0" w:space="0" w:color="auto"/>
        <w:left w:val="none" w:sz="0" w:space="0" w:color="auto"/>
        <w:bottom w:val="none" w:sz="0" w:space="0" w:color="auto"/>
        <w:right w:val="none" w:sz="0" w:space="0" w:color="auto"/>
      </w:divBdr>
    </w:div>
    <w:div w:id="177353155">
      <w:bodyDiv w:val="1"/>
      <w:marLeft w:val="0"/>
      <w:marRight w:val="0"/>
      <w:marTop w:val="0"/>
      <w:marBottom w:val="0"/>
      <w:divBdr>
        <w:top w:val="none" w:sz="0" w:space="0" w:color="auto"/>
        <w:left w:val="none" w:sz="0" w:space="0" w:color="auto"/>
        <w:bottom w:val="none" w:sz="0" w:space="0" w:color="auto"/>
        <w:right w:val="none" w:sz="0" w:space="0" w:color="auto"/>
      </w:divBdr>
    </w:div>
    <w:div w:id="205141068">
      <w:bodyDiv w:val="1"/>
      <w:marLeft w:val="0"/>
      <w:marRight w:val="0"/>
      <w:marTop w:val="0"/>
      <w:marBottom w:val="0"/>
      <w:divBdr>
        <w:top w:val="none" w:sz="0" w:space="0" w:color="auto"/>
        <w:left w:val="none" w:sz="0" w:space="0" w:color="auto"/>
        <w:bottom w:val="none" w:sz="0" w:space="0" w:color="auto"/>
        <w:right w:val="none" w:sz="0" w:space="0" w:color="auto"/>
      </w:divBdr>
    </w:div>
    <w:div w:id="229198234">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53444293">
      <w:bodyDiv w:val="1"/>
      <w:marLeft w:val="0"/>
      <w:marRight w:val="0"/>
      <w:marTop w:val="0"/>
      <w:marBottom w:val="0"/>
      <w:divBdr>
        <w:top w:val="none" w:sz="0" w:space="0" w:color="auto"/>
        <w:left w:val="none" w:sz="0" w:space="0" w:color="auto"/>
        <w:bottom w:val="none" w:sz="0" w:space="0" w:color="auto"/>
        <w:right w:val="none" w:sz="0" w:space="0" w:color="auto"/>
      </w:divBdr>
    </w:div>
    <w:div w:id="278070688">
      <w:bodyDiv w:val="1"/>
      <w:marLeft w:val="0"/>
      <w:marRight w:val="0"/>
      <w:marTop w:val="0"/>
      <w:marBottom w:val="0"/>
      <w:divBdr>
        <w:top w:val="none" w:sz="0" w:space="0" w:color="auto"/>
        <w:left w:val="none" w:sz="0" w:space="0" w:color="auto"/>
        <w:bottom w:val="none" w:sz="0" w:space="0" w:color="auto"/>
        <w:right w:val="none" w:sz="0" w:space="0" w:color="auto"/>
      </w:divBdr>
    </w:div>
    <w:div w:id="291710511">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300885504">
      <w:bodyDiv w:val="1"/>
      <w:marLeft w:val="0"/>
      <w:marRight w:val="0"/>
      <w:marTop w:val="0"/>
      <w:marBottom w:val="0"/>
      <w:divBdr>
        <w:top w:val="none" w:sz="0" w:space="0" w:color="auto"/>
        <w:left w:val="none" w:sz="0" w:space="0" w:color="auto"/>
        <w:bottom w:val="none" w:sz="0" w:space="0" w:color="auto"/>
        <w:right w:val="none" w:sz="0" w:space="0" w:color="auto"/>
      </w:divBdr>
    </w:div>
    <w:div w:id="317609567">
      <w:bodyDiv w:val="1"/>
      <w:marLeft w:val="0"/>
      <w:marRight w:val="0"/>
      <w:marTop w:val="0"/>
      <w:marBottom w:val="0"/>
      <w:divBdr>
        <w:top w:val="none" w:sz="0" w:space="0" w:color="auto"/>
        <w:left w:val="none" w:sz="0" w:space="0" w:color="auto"/>
        <w:bottom w:val="none" w:sz="0" w:space="0" w:color="auto"/>
        <w:right w:val="none" w:sz="0" w:space="0" w:color="auto"/>
      </w:divBdr>
    </w:div>
    <w:div w:id="320164604">
      <w:bodyDiv w:val="1"/>
      <w:marLeft w:val="0"/>
      <w:marRight w:val="0"/>
      <w:marTop w:val="0"/>
      <w:marBottom w:val="0"/>
      <w:divBdr>
        <w:top w:val="none" w:sz="0" w:space="0" w:color="auto"/>
        <w:left w:val="none" w:sz="0" w:space="0" w:color="auto"/>
        <w:bottom w:val="none" w:sz="0" w:space="0" w:color="auto"/>
        <w:right w:val="none" w:sz="0" w:space="0" w:color="auto"/>
      </w:divBdr>
    </w:div>
    <w:div w:id="327094457">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37198946">
      <w:bodyDiv w:val="1"/>
      <w:marLeft w:val="0"/>
      <w:marRight w:val="0"/>
      <w:marTop w:val="0"/>
      <w:marBottom w:val="0"/>
      <w:divBdr>
        <w:top w:val="none" w:sz="0" w:space="0" w:color="auto"/>
        <w:left w:val="none" w:sz="0" w:space="0" w:color="auto"/>
        <w:bottom w:val="none" w:sz="0" w:space="0" w:color="auto"/>
        <w:right w:val="none" w:sz="0" w:space="0" w:color="auto"/>
      </w:divBdr>
    </w:div>
    <w:div w:id="350883556">
      <w:bodyDiv w:val="1"/>
      <w:marLeft w:val="0"/>
      <w:marRight w:val="0"/>
      <w:marTop w:val="0"/>
      <w:marBottom w:val="0"/>
      <w:divBdr>
        <w:top w:val="none" w:sz="0" w:space="0" w:color="auto"/>
        <w:left w:val="none" w:sz="0" w:space="0" w:color="auto"/>
        <w:bottom w:val="none" w:sz="0" w:space="0" w:color="auto"/>
        <w:right w:val="none" w:sz="0" w:space="0" w:color="auto"/>
      </w:divBdr>
    </w:div>
    <w:div w:id="378937297">
      <w:bodyDiv w:val="1"/>
      <w:marLeft w:val="0"/>
      <w:marRight w:val="0"/>
      <w:marTop w:val="0"/>
      <w:marBottom w:val="0"/>
      <w:divBdr>
        <w:top w:val="none" w:sz="0" w:space="0" w:color="auto"/>
        <w:left w:val="none" w:sz="0" w:space="0" w:color="auto"/>
        <w:bottom w:val="none" w:sz="0" w:space="0" w:color="auto"/>
        <w:right w:val="none" w:sz="0" w:space="0" w:color="auto"/>
      </w:divBdr>
    </w:div>
    <w:div w:id="379981392">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8891328">
      <w:bodyDiv w:val="1"/>
      <w:marLeft w:val="0"/>
      <w:marRight w:val="0"/>
      <w:marTop w:val="0"/>
      <w:marBottom w:val="0"/>
      <w:divBdr>
        <w:top w:val="none" w:sz="0" w:space="0" w:color="auto"/>
        <w:left w:val="none" w:sz="0" w:space="0" w:color="auto"/>
        <w:bottom w:val="none" w:sz="0" w:space="0" w:color="auto"/>
        <w:right w:val="none" w:sz="0" w:space="0" w:color="auto"/>
      </w:divBdr>
    </w:div>
    <w:div w:id="413162772">
      <w:bodyDiv w:val="1"/>
      <w:marLeft w:val="0"/>
      <w:marRight w:val="0"/>
      <w:marTop w:val="0"/>
      <w:marBottom w:val="0"/>
      <w:divBdr>
        <w:top w:val="none" w:sz="0" w:space="0" w:color="auto"/>
        <w:left w:val="none" w:sz="0" w:space="0" w:color="auto"/>
        <w:bottom w:val="none" w:sz="0" w:space="0" w:color="auto"/>
        <w:right w:val="none" w:sz="0" w:space="0" w:color="auto"/>
      </w:divBdr>
    </w:div>
    <w:div w:id="415131721">
      <w:bodyDiv w:val="1"/>
      <w:marLeft w:val="0"/>
      <w:marRight w:val="0"/>
      <w:marTop w:val="0"/>
      <w:marBottom w:val="0"/>
      <w:divBdr>
        <w:top w:val="none" w:sz="0" w:space="0" w:color="auto"/>
        <w:left w:val="none" w:sz="0" w:space="0" w:color="auto"/>
        <w:bottom w:val="none" w:sz="0" w:space="0" w:color="auto"/>
        <w:right w:val="none" w:sz="0" w:space="0" w:color="auto"/>
      </w:divBdr>
    </w:div>
    <w:div w:id="426658759">
      <w:bodyDiv w:val="1"/>
      <w:marLeft w:val="0"/>
      <w:marRight w:val="0"/>
      <w:marTop w:val="0"/>
      <w:marBottom w:val="0"/>
      <w:divBdr>
        <w:top w:val="none" w:sz="0" w:space="0" w:color="auto"/>
        <w:left w:val="none" w:sz="0" w:space="0" w:color="auto"/>
        <w:bottom w:val="none" w:sz="0" w:space="0" w:color="auto"/>
        <w:right w:val="none" w:sz="0" w:space="0" w:color="auto"/>
      </w:divBdr>
    </w:div>
    <w:div w:id="459494398">
      <w:bodyDiv w:val="1"/>
      <w:marLeft w:val="0"/>
      <w:marRight w:val="0"/>
      <w:marTop w:val="0"/>
      <w:marBottom w:val="0"/>
      <w:divBdr>
        <w:top w:val="none" w:sz="0" w:space="0" w:color="auto"/>
        <w:left w:val="none" w:sz="0" w:space="0" w:color="auto"/>
        <w:bottom w:val="none" w:sz="0" w:space="0" w:color="auto"/>
        <w:right w:val="none" w:sz="0" w:space="0" w:color="auto"/>
      </w:divBdr>
    </w:div>
    <w:div w:id="460997042">
      <w:bodyDiv w:val="1"/>
      <w:marLeft w:val="0"/>
      <w:marRight w:val="0"/>
      <w:marTop w:val="0"/>
      <w:marBottom w:val="0"/>
      <w:divBdr>
        <w:top w:val="none" w:sz="0" w:space="0" w:color="auto"/>
        <w:left w:val="none" w:sz="0" w:space="0" w:color="auto"/>
        <w:bottom w:val="none" w:sz="0" w:space="0" w:color="auto"/>
        <w:right w:val="none" w:sz="0" w:space="0" w:color="auto"/>
      </w:divBdr>
      <w:divsChild>
        <w:div w:id="1796557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511660">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89293655">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08369319">
      <w:bodyDiv w:val="1"/>
      <w:marLeft w:val="0"/>
      <w:marRight w:val="0"/>
      <w:marTop w:val="0"/>
      <w:marBottom w:val="0"/>
      <w:divBdr>
        <w:top w:val="none" w:sz="0" w:space="0" w:color="auto"/>
        <w:left w:val="none" w:sz="0" w:space="0" w:color="auto"/>
        <w:bottom w:val="none" w:sz="0" w:space="0" w:color="auto"/>
        <w:right w:val="none" w:sz="0" w:space="0" w:color="auto"/>
      </w:divBdr>
      <w:divsChild>
        <w:div w:id="799415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5659724">
      <w:bodyDiv w:val="1"/>
      <w:marLeft w:val="0"/>
      <w:marRight w:val="0"/>
      <w:marTop w:val="0"/>
      <w:marBottom w:val="0"/>
      <w:divBdr>
        <w:top w:val="none" w:sz="0" w:space="0" w:color="auto"/>
        <w:left w:val="none" w:sz="0" w:space="0" w:color="auto"/>
        <w:bottom w:val="none" w:sz="0" w:space="0" w:color="auto"/>
        <w:right w:val="none" w:sz="0" w:space="0" w:color="auto"/>
      </w:divBdr>
    </w:div>
    <w:div w:id="521820934">
      <w:bodyDiv w:val="1"/>
      <w:marLeft w:val="0"/>
      <w:marRight w:val="0"/>
      <w:marTop w:val="0"/>
      <w:marBottom w:val="0"/>
      <w:divBdr>
        <w:top w:val="none" w:sz="0" w:space="0" w:color="auto"/>
        <w:left w:val="none" w:sz="0" w:space="0" w:color="auto"/>
        <w:bottom w:val="none" w:sz="0" w:space="0" w:color="auto"/>
        <w:right w:val="none" w:sz="0" w:space="0" w:color="auto"/>
      </w:divBdr>
    </w:div>
    <w:div w:id="526063688">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598030059">
      <w:bodyDiv w:val="1"/>
      <w:marLeft w:val="0"/>
      <w:marRight w:val="0"/>
      <w:marTop w:val="0"/>
      <w:marBottom w:val="0"/>
      <w:divBdr>
        <w:top w:val="none" w:sz="0" w:space="0" w:color="auto"/>
        <w:left w:val="none" w:sz="0" w:space="0" w:color="auto"/>
        <w:bottom w:val="none" w:sz="0" w:space="0" w:color="auto"/>
        <w:right w:val="none" w:sz="0" w:space="0" w:color="auto"/>
      </w:divBdr>
    </w:div>
    <w:div w:id="606737369">
      <w:bodyDiv w:val="1"/>
      <w:marLeft w:val="0"/>
      <w:marRight w:val="0"/>
      <w:marTop w:val="0"/>
      <w:marBottom w:val="0"/>
      <w:divBdr>
        <w:top w:val="none" w:sz="0" w:space="0" w:color="auto"/>
        <w:left w:val="none" w:sz="0" w:space="0" w:color="auto"/>
        <w:bottom w:val="none" w:sz="0" w:space="0" w:color="auto"/>
        <w:right w:val="none" w:sz="0" w:space="0" w:color="auto"/>
      </w:divBdr>
    </w:div>
    <w:div w:id="634682782">
      <w:bodyDiv w:val="1"/>
      <w:marLeft w:val="0"/>
      <w:marRight w:val="0"/>
      <w:marTop w:val="0"/>
      <w:marBottom w:val="0"/>
      <w:divBdr>
        <w:top w:val="none" w:sz="0" w:space="0" w:color="auto"/>
        <w:left w:val="none" w:sz="0" w:space="0" w:color="auto"/>
        <w:bottom w:val="none" w:sz="0" w:space="0" w:color="auto"/>
        <w:right w:val="none" w:sz="0" w:space="0" w:color="auto"/>
      </w:divBdr>
    </w:div>
    <w:div w:id="644819125">
      <w:bodyDiv w:val="1"/>
      <w:marLeft w:val="0"/>
      <w:marRight w:val="0"/>
      <w:marTop w:val="0"/>
      <w:marBottom w:val="0"/>
      <w:divBdr>
        <w:top w:val="none" w:sz="0" w:space="0" w:color="auto"/>
        <w:left w:val="none" w:sz="0" w:space="0" w:color="auto"/>
        <w:bottom w:val="none" w:sz="0" w:space="0" w:color="auto"/>
        <w:right w:val="none" w:sz="0" w:space="0" w:color="auto"/>
      </w:divBdr>
    </w:div>
    <w:div w:id="657073925">
      <w:bodyDiv w:val="1"/>
      <w:marLeft w:val="0"/>
      <w:marRight w:val="0"/>
      <w:marTop w:val="0"/>
      <w:marBottom w:val="0"/>
      <w:divBdr>
        <w:top w:val="none" w:sz="0" w:space="0" w:color="auto"/>
        <w:left w:val="none" w:sz="0" w:space="0" w:color="auto"/>
        <w:bottom w:val="none" w:sz="0" w:space="0" w:color="auto"/>
        <w:right w:val="none" w:sz="0" w:space="0" w:color="auto"/>
      </w:divBdr>
    </w:div>
    <w:div w:id="674844785">
      <w:bodyDiv w:val="1"/>
      <w:marLeft w:val="0"/>
      <w:marRight w:val="0"/>
      <w:marTop w:val="0"/>
      <w:marBottom w:val="0"/>
      <w:divBdr>
        <w:top w:val="none" w:sz="0" w:space="0" w:color="auto"/>
        <w:left w:val="none" w:sz="0" w:space="0" w:color="auto"/>
        <w:bottom w:val="none" w:sz="0" w:space="0" w:color="auto"/>
        <w:right w:val="none" w:sz="0" w:space="0" w:color="auto"/>
      </w:divBdr>
    </w:div>
    <w:div w:id="701982417">
      <w:bodyDiv w:val="1"/>
      <w:marLeft w:val="0"/>
      <w:marRight w:val="0"/>
      <w:marTop w:val="0"/>
      <w:marBottom w:val="0"/>
      <w:divBdr>
        <w:top w:val="none" w:sz="0" w:space="0" w:color="auto"/>
        <w:left w:val="none" w:sz="0" w:space="0" w:color="auto"/>
        <w:bottom w:val="none" w:sz="0" w:space="0" w:color="auto"/>
        <w:right w:val="none" w:sz="0" w:space="0" w:color="auto"/>
      </w:divBdr>
    </w:div>
    <w:div w:id="736438768">
      <w:bodyDiv w:val="1"/>
      <w:marLeft w:val="0"/>
      <w:marRight w:val="0"/>
      <w:marTop w:val="0"/>
      <w:marBottom w:val="0"/>
      <w:divBdr>
        <w:top w:val="none" w:sz="0" w:space="0" w:color="auto"/>
        <w:left w:val="none" w:sz="0" w:space="0" w:color="auto"/>
        <w:bottom w:val="none" w:sz="0" w:space="0" w:color="auto"/>
        <w:right w:val="none" w:sz="0" w:space="0" w:color="auto"/>
      </w:divBdr>
    </w:div>
    <w:div w:id="74214184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3276080">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7134352">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8664785">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870339053">
      <w:bodyDiv w:val="1"/>
      <w:marLeft w:val="0"/>
      <w:marRight w:val="0"/>
      <w:marTop w:val="0"/>
      <w:marBottom w:val="0"/>
      <w:divBdr>
        <w:top w:val="none" w:sz="0" w:space="0" w:color="auto"/>
        <w:left w:val="none" w:sz="0" w:space="0" w:color="auto"/>
        <w:bottom w:val="none" w:sz="0" w:space="0" w:color="auto"/>
        <w:right w:val="none" w:sz="0" w:space="0" w:color="auto"/>
      </w:divBdr>
    </w:div>
    <w:div w:id="880018131">
      <w:bodyDiv w:val="1"/>
      <w:marLeft w:val="0"/>
      <w:marRight w:val="0"/>
      <w:marTop w:val="0"/>
      <w:marBottom w:val="0"/>
      <w:divBdr>
        <w:top w:val="none" w:sz="0" w:space="0" w:color="auto"/>
        <w:left w:val="none" w:sz="0" w:space="0" w:color="auto"/>
        <w:bottom w:val="none" w:sz="0" w:space="0" w:color="auto"/>
        <w:right w:val="none" w:sz="0" w:space="0" w:color="auto"/>
      </w:divBdr>
    </w:div>
    <w:div w:id="909118558">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0793320">
      <w:bodyDiv w:val="1"/>
      <w:marLeft w:val="0"/>
      <w:marRight w:val="0"/>
      <w:marTop w:val="0"/>
      <w:marBottom w:val="0"/>
      <w:divBdr>
        <w:top w:val="none" w:sz="0" w:space="0" w:color="auto"/>
        <w:left w:val="none" w:sz="0" w:space="0" w:color="auto"/>
        <w:bottom w:val="none" w:sz="0" w:space="0" w:color="auto"/>
        <w:right w:val="none" w:sz="0" w:space="0" w:color="auto"/>
      </w:divBdr>
    </w:div>
    <w:div w:id="984166625">
      <w:bodyDiv w:val="1"/>
      <w:marLeft w:val="0"/>
      <w:marRight w:val="0"/>
      <w:marTop w:val="0"/>
      <w:marBottom w:val="0"/>
      <w:divBdr>
        <w:top w:val="none" w:sz="0" w:space="0" w:color="auto"/>
        <w:left w:val="none" w:sz="0" w:space="0" w:color="auto"/>
        <w:bottom w:val="none" w:sz="0" w:space="0" w:color="auto"/>
        <w:right w:val="none" w:sz="0" w:space="0" w:color="auto"/>
      </w:divBdr>
    </w:div>
    <w:div w:id="1006176721">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1981562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9305133">
      <w:bodyDiv w:val="1"/>
      <w:marLeft w:val="0"/>
      <w:marRight w:val="0"/>
      <w:marTop w:val="0"/>
      <w:marBottom w:val="0"/>
      <w:divBdr>
        <w:top w:val="none" w:sz="0" w:space="0" w:color="auto"/>
        <w:left w:val="none" w:sz="0" w:space="0" w:color="auto"/>
        <w:bottom w:val="none" w:sz="0" w:space="0" w:color="auto"/>
        <w:right w:val="none" w:sz="0" w:space="0" w:color="auto"/>
      </w:divBdr>
    </w:div>
    <w:div w:id="1114865494">
      <w:bodyDiv w:val="1"/>
      <w:marLeft w:val="0"/>
      <w:marRight w:val="0"/>
      <w:marTop w:val="0"/>
      <w:marBottom w:val="0"/>
      <w:divBdr>
        <w:top w:val="none" w:sz="0" w:space="0" w:color="auto"/>
        <w:left w:val="none" w:sz="0" w:space="0" w:color="auto"/>
        <w:bottom w:val="none" w:sz="0" w:space="0" w:color="auto"/>
        <w:right w:val="none" w:sz="0" w:space="0" w:color="auto"/>
      </w:divBdr>
    </w:div>
    <w:div w:id="1122844080">
      <w:bodyDiv w:val="1"/>
      <w:marLeft w:val="0"/>
      <w:marRight w:val="0"/>
      <w:marTop w:val="0"/>
      <w:marBottom w:val="0"/>
      <w:divBdr>
        <w:top w:val="none" w:sz="0" w:space="0" w:color="auto"/>
        <w:left w:val="none" w:sz="0" w:space="0" w:color="auto"/>
        <w:bottom w:val="none" w:sz="0" w:space="0" w:color="auto"/>
        <w:right w:val="none" w:sz="0" w:space="0" w:color="auto"/>
      </w:divBdr>
    </w:div>
    <w:div w:id="1154418276">
      <w:bodyDiv w:val="1"/>
      <w:marLeft w:val="0"/>
      <w:marRight w:val="0"/>
      <w:marTop w:val="0"/>
      <w:marBottom w:val="0"/>
      <w:divBdr>
        <w:top w:val="none" w:sz="0" w:space="0" w:color="auto"/>
        <w:left w:val="none" w:sz="0" w:space="0" w:color="auto"/>
        <w:bottom w:val="none" w:sz="0" w:space="0" w:color="auto"/>
        <w:right w:val="none" w:sz="0" w:space="0" w:color="auto"/>
      </w:divBdr>
    </w:div>
    <w:div w:id="1158612639">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8911552">
      <w:bodyDiv w:val="1"/>
      <w:marLeft w:val="0"/>
      <w:marRight w:val="0"/>
      <w:marTop w:val="0"/>
      <w:marBottom w:val="0"/>
      <w:divBdr>
        <w:top w:val="none" w:sz="0" w:space="0" w:color="auto"/>
        <w:left w:val="none" w:sz="0" w:space="0" w:color="auto"/>
        <w:bottom w:val="none" w:sz="0" w:space="0" w:color="auto"/>
        <w:right w:val="none" w:sz="0" w:space="0" w:color="auto"/>
      </w:divBdr>
    </w:div>
    <w:div w:id="1209606292">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249007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4968203">
      <w:bodyDiv w:val="1"/>
      <w:marLeft w:val="0"/>
      <w:marRight w:val="0"/>
      <w:marTop w:val="0"/>
      <w:marBottom w:val="0"/>
      <w:divBdr>
        <w:top w:val="none" w:sz="0" w:space="0" w:color="auto"/>
        <w:left w:val="none" w:sz="0" w:space="0" w:color="auto"/>
        <w:bottom w:val="none" w:sz="0" w:space="0" w:color="auto"/>
        <w:right w:val="none" w:sz="0" w:space="0" w:color="auto"/>
      </w:divBdr>
      <w:divsChild>
        <w:div w:id="513082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7853726">
      <w:bodyDiv w:val="1"/>
      <w:marLeft w:val="0"/>
      <w:marRight w:val="0"/>
      <w:marTop w:val="0"/>
      <w:marBottom w:val="0"/>
      <w:divBdr>
        <w:top w:val="none" w:sz="0" w:space="0" w:color="auto"/>
        <w:left w:val="none" w:sz="0" w:space="0" w:color="auto"/>
        <w:bottom w:val="none" w:sz="0" w:space="0" w:color="auto"/>
        <w:right w:val="none" w:sz="0" w:space="0" w:color="auto"/>
      </w:divBdr>
    </w:div>
    <w:div w:id="1324432633">
      <w:bodyDiv w:val="1"/>
      <w:marLeft w:val="0"/>
      <w:marRight w:val="0"/>
      <w:marTop w:val="0"/>
      <w:marBottom w:val="0"/>
      <w:divBdr>
        <w:top w:val="none" w:sz="0" w:space="0" w:color="auto"/>
        <w:left w:val="none" w:sz="0" w:space="0" w:color="auto"/>
        <w:bottom w:val="none" w:sz="0" w:space="0" w:color="auto"/>
        <w:right w:val="none" w:sz="0" w:space="0" w:color="auto"/>
      </w:divBdr>
    </w:div>
    <w:div w:id="1385956123">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392919701">
      <w:bodyDiv w:val="1"/>
      <w:marLeft w:val="0"/>
      <w:marRight w:val="0"/>
      <w:marTop w:val="0"/>
      <w:marBottom w:val="0"/>
      <w:divBdr>
        <w:top w:val="none" w:sz="0" w:space="0" w:color="auto"/>
        <w:left w:val="none" w:sz="0" w:space="0" w:color="auto"/>
        <w:bottom w:val="none" w:sz="0" w:space="0" w:color="auto"/>
        <w:right w:val="none" w:sz="0" w:space="0" w:color="auto"/>
      </w:divBdr>
    </w:div>
    <w:div w:id="1430153312">
      <w:bodyDiv w:val="1"/>
      <w:marLeft w:val="0"/>
      <w:marRight w:val="0"/>
      <w:marTop w:val="0"/>
      <w:marBottom w:val="0"/>
      <w:divBdr>
        <w:top w:val="none" w:sz="0" w:space="0" w:color="auto"/>
        <w:left w:val="none" w:sz="0" w:space="0" w:color="auto"/>
        <w:bottom w:val="none" w:sz="0" w:space="0" w:color="auto"/>
        <w:right w:val="none" w:sz="0" w:space="0" w:color="auto"/>
      </w:divBdr>
    </w:div>
    <w:div w:id="1438208906">
      <w:bodyDiv w:val="1"/>
      <w:marLeft w:val="0"/>
      <w:marRight w:val="0"/>
      <w:marTop w:val="0"/>
      <w:marBottom w:val="0"/>
      <w:divBdr>
        <w:top w:val="none" w:sz="0" w:space="0" w:color="auto"/>
        <w:left w:val="none" w:sz="0" w:space="0" w:color="auto"/>
        <w:bottom w:val="none" w:sz="0" w:space="0" w:color="auto"/>
        <w:right w:val="none" w:sz="0" w:space="0" w:color="auto"/>
      </w:divBdr>
    </w:div>
    <w:div w:id="1470977156">
      <w:bodyDiv w:val="1"/>
      <w:marLeft w:val="0"/>
      <w:marRight w:val="0"/>
      <w:marTop w:val="0"/>
      <w:marBottom w:val="0"/>
      <w:divBdr>
        <w:top w:val="none" w:sz="0" w:space="0" w:color="auto"/>
        <w:left w:val="none" w:sz="0" w:space="0" w:color="auto"/>
        <w:bottom w:val="none" w:sz="0" w:space="0" w:color="auto"/>
        <w:right w:val="none" w:sz="0" w:space="0" w:color="auto"/>
      </w:divBdr>
    </w:div>
    <w:div w:id="149529639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3567541">
      <w:bodyDiv w:val="1"/>
      <w:marLeft w:val="0"/>
      <w:marRight w:val="0"/>
      <w:marTop w:val="0"/>
      <w:marBottom w:val="0"/>
      <w:divBdr>
        <w:top w:val="none" w:sz="0" w:space="0" w:color="auto"/>
        <w:left w:val="none" w:sz="0" w:space="0" w:color="auto"/>
        <w:bottom w:val="none" w:sz="0" w:space="0" w:color="auto"/>
        <w:right w:val="none" w:sz="0" w:space="0" w:color="auto"/>
      </w:divBdr>
    </w:div>
    <w:div w:id="1521972858">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34230491">
      <w:bodyDiv w:val="1"/>
      <w:marLeft w:val="0"/>
      <w:marRight w:val="0"/>
      <w:marTop w:val="0"/>
      <w:marBottom w:val="0"/>
      <w:divBdr>
        <w:top w:val="none" w:sz="0" w:space="0" w:color="auto"/>
        <w:left w:val="none" w:sz="0" w:space="0" w:color="auto"/>
        <w:bottom w:val="none" w:sz="0" w:space="0" w:color="auto"/>
        <w:right w:val="none" w:sz="0" w:space="0" w:color="auto"/>
      </w:divBdr>
    </w:div>
    <w:div w:id="1555119994">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3199155">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18441298">
      <w:bodyDiv w:val="1"/>
      <w:marLeft w:val="0"/>
      <w:marRight w:val="0"/>
      <w:marTop w:val="0"/>
      <w:marBottom w:val="0"/>
      <w:divBdr>
        <w:top w:val="none" w:sz="0" w:space="0" w:color="auto"/>
        <w:left w:val="none" w:sz="0" w:space="0" w:color="auto"/>
        <w:bottom w:val="none" w:sz="0" w:space="0" w:color="auto"/>
        <w:right w:val="none" w:sz="0" w:space="0" w:color="auto"/>
      </w:divBdr>
    </w:div>
    <w:div w:id="1636181687">
      <w:bodyDiv w:val="1"/>
      <w:marLeft w:val="0"/>
      <w:marRight w:val="0"/>
      <w:marTop w:val="0"/>
      <w:marBottom w:val="0"/>
      <w:divBdr>
        <w:top w:val="none" w:sz="0" w:space="0" w:color="auto"/>
        <w:left w:val="none" w:sz="0" w:space="0" w:color="auto"/>
        <w:bottom w:val="none" w:sz="0" w:space="0" w:color="auto"/>
        <w:right w:val="none" w:sz="0" w:space="0" w:color="auto"/>
      </w:divBdr>
    </w:div>
    <w:div w:id="1644774457">
      <w:bodyDiv w:val="1"/>
      <w:marLeft w:val="0"/>
      <w:marRight w:val="0"/>
      <w:marTop w:val="0"/>
      <w:marBottom w:val="0"/>
      <w:divBdr>
        <w:top w:val="none" w:sz="0" w:space="0" w:color="auto"/>
        <w:left w:val="none" w:sz="0" w:space="0" w:color="auto"/>
        <w:bottom w:val="none" w:sz="0" w:space="0" w:color="auto"/>
        <w:right w:val="none" w:sz="0" w:space="0" w:color="auto"/>
      </w:divBdr>
    </w:div>
    <w:div w:id="1646935514">
      <w:bodyDiv w:val="1"/>
      <w:marLeft w:val="0"/>
      <w:marRight w:val="0"/>
      <w:marTop w:val="0"/>
      <w:marBottom w:val="0"/>
      <w:divBdr>
        <w:top w:val="none" w:sz="0" w:space="0" w:color="auto"/>
        <w:left w:val="none" w:sz="0" w:space="0" w:color="auto"/>
        <w:bottom w:val="none" w:sz="0" w:space="0" w:color="auto"/>
        <w:right w:val="none" w:sz="0" w:space="0" w:color="auto"/>
      </w:divBdr>
    </w:div>
    <w:div w:id="1660886916">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7246243">
      <w:bodyDiv w:val="1"/>
      <w:marLeft w:val="0"/>
      <w:marRight w:val="0"/>
      <w:marTop w:val="0"/>
      <w:marBottom w:val="0"/>
      <w:divBdr>
        <w:top w:val="none" w:sz="0" w:space="0" w:color="auto"/>
        <w:left w:val="none" w:sz="0" w:space="0" w:color="auto"/>
        <w:bottom w:val="none" w:sz="0" w:space="0" w:color="auto"/>
        <w:right w:val="none" w:sz="0" w:space="0" w:color="auto"/>
      </w:divBdr>
    </w:div>
    <w:div w:id="1725789711">
      <w:bodyDiv w:val="1"/>
      <w:marLeft w:val="0"/>
      <w:marRight w:val="0"/>
      <w:marTop w:val="0"/>
      <w:marBottom w:val="0"/>
      <w:divBdr>
        <w:top w:val="none" w:sz="0" w:space="0" w:color="auto"/>
        <w:left w:val="none" w:sz="0" w:space="0" w:color="auto"/>
        <w:bottom w:val="none" w:sz="0" w:space="0" w:color="auto"/>
        <w:right w:val="none" w:sz="0" w:space="0" w:color="auto"/>
      </w:divBdr>
    </w:div>
    <w:div w:id="1732390217">
      <w:bodyDiv w:val="1"/>
      <w:marLeft w:val="0"/>
      <w:marRight w:val="0"/>
      <w:marTop w:val="0"/>
      <w:marBottom w:val="0"/>
      <w:divBdr>
        <w:top w:val="none" w:sz="0" w:space="0" w:color="auto"/>
        <w:left w:val="none" w:sz="0" w:space="0" w:color="auto"/>
        <w:bottom w:val="none" w:sz="0" w:space="0" w:color="auto"/>
        <w:right w:val="none" w:sz="0" w:space="0" w:color="auto"/>
      </w:divBdr>
    </w:div>
    <w:div w:id="1797219051">
      <w:bodyDiv w:val="1"/>
      <w:marLeft w:val="0"/>
      <w:marRight w:val="0"/>
      <w:marTop w:val="0"/>
      <w:marBottom w:val="0"/>
      <w:divBdr>
        <w:top w:val="none" w:sz="0" w:space="0" w:color="auto"/>
        <w:left w:val="none" w:sz="0" w:space="0" w:color="auto"/>
        <w:bottom w:val="none" w:sz="0" w:space="0" w:color="auto"/>
        <w:right w:val="none" w:sz="0" w:space="0" w:color="auto"/>
      </w:divBdr>
    </w:div>
    <w:div w:id="1847011581">
      <w:bodyDiv w:val="1"/>
      <w:marLeft w:val="0"/>
      <w:marRight w:val="0"/>
      <w:marTop w:val="0"/>
      <w:marBottom w:val="0"/>
      <w:divBdr>
        <w:top w:val="none" w:sz="0" w:space="0" w:color="auto"/>
        <w:left w:val="none" w:sz="0" w:space="0" w:color="auto"/>
        <w:bottom w:val="none" w:sz="0" w:space="0" w:color="auto"/>
        <w:right w:val="none" w:sz="0" w:space="0" w:color="auto"/>
      </w:divBdr>
    </w:div>
    <w:div w:id="18788125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3808932">
      <w:bodyDiv w:val="1"/>
      <w:marLeft w:val="0"/>
      <w:marRight w:val="0"/>
      <w:marTop w:val="0"/>
      <w:marBottom w:val="0"/>
      <w:divBdr>
        <w:top w:val="none" w:sz="0" w:space="0" w:color="auto"/>
        <w:left w:val="none" w:sz="0" w:space="0" w:color="auto"/>
        <w:bottom w:val="none" w:sz="0" w:space="0" w:color="auto"/>
        <w:right w:val="none" w:sz="0" w:space="0" w:color="auto"/>
      </w:divBdr>
    </w:div>
    <w:div w:id="1941719563">
      <w:bodyDiv w:val="1"/>
      <w:marLeft w:val="0"/>
      <w:marRight w:val="0"/>
      <w:marTop w:val="0"/>
      <w:marBottom w:val="0"/>
      <w:divBdr>
        <w:top w:val="none" w:sz="0" w:space="0" w:color="auto"/>
        <w:left w:val="none" w:sz="0" w:space="0" w:color="auto"/>
        <w:bottom w:val="none" w:sz="0" w:space="0" w:color="auto"/>
        <w:right w:val="none" w:sz="0" w:space="0" w:color="auto"/>
      </w:divBdr>
    </w:div>
    <w:div w:id="1954095246">
      <w:bodyDiv w:val="1"/>
      <w:marLeft w:val="0"/>
      <w:marRight w:val="0"/>
      <w:marTop w:val="0"/>
      <w:marBottom w:val="0"/>
      <w:divBdr>
        <w:top w:val="none" w:sz="0" w:space="0" w:color="auto"/>
        <w:left w:val="none" w:sz="0" w:space="0" w:color="auto"/>
        <w:bottom w:val="none" w:sz="0" w:space="0" w:color="auto"/>
        <w:right w:val="none" w:sz="0" w:space="0" w:color="auto"/>
      </w:divBdr>
    </w:div>
    <w:div w:id="2001079113">
      <w:bodyDiv w:val="1"/>
      <w:marLeft w:val="0"/>
      <w:marRight w:val="0"/>
      <w:marTop w:val="0"/>
      <w:marBottom w:val="0"/>
      <w:divBdr>
        <w:top w:val="none" w:sz="0" w:space="0" w:color="auto"/>
        <w:left w:val="none" w:sz="0" w:space="0" w:color="auto"/>
        <w:bottom w:val="none" w:sz="0" w:space="0" w:color="auto"/>
        <w:right w:val="none" w:sz="0" w:space="0" w:color="auto"/>
      </w:divBdr>
    </w:div>
    <w:div w:id="2008290461">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305722">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4592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effe.ta-cayenne@juradm.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9CF55-8C63-48E2-9170-6D2D11DD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3264</Words>
  <Characters>17953</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 (EA)</cp:lastModifiedBy>
  <cp:revision>6</cp:revision>
  <dcterms:created xsi:type="dcterms:W3CDTF">2025-05-21T18:02:00Z</dcterms:created>
  <dcterms:modified xsi:type="dcterms:W3CDTF">2025-07-03T11:46:00Z</dcterms:modified>
</cp:coreProperties>
</file>